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Look w:val="01E0" w:firstRow="1" w:lastRow="1" w:firstColumn="1" w:lastColumn="1" w:noHBand="0" w:noVBand="0"/>
      </w:tblPr>
      <w:tblGrid>
        <w:gridCol w:w="743"/>
        <w:gridCol w:w="8077"/>
      </w:tblGrid>
      <w:tr w:rsidR="005B163D" w:rsidTr="005B163D">
        <w:trPr>
          <w:trHeight w:val="295"/>
          <w:jc w:val="center"/>
        </w:trPr>
        <w:tc>
          <w:tcPr>
            <w:tcW w:w="743" w:type="dxa"/>
            <w:tcBorders>
              <w:top w:val="nil"/>
              <w:left w:val="nil"/>
              <w:bottom w:val="nil"/>
              <w:right w:val="nil"/>
            </w:tcBorders>
            <w:hideMark/>
          </w:tcPr>
          <w:p w:rsidR="005B163D" w:rsidRDefault="005B163D">
            <w:pPr>
              <w:jc w:val="both"/>
              <w:rPr>
                <w:rFonts w:ascii="Arial" w:hAnsi="Arial"/>
                <w:b/>
                <w:bCs/>
                <w:noProof w:val="0"/>
                <w:sz w:val="26"/>
                <w:szCs w:val="26"/>
              </w:rPr>
            </w:pPr>
            <w:bookmarkStart w:id="0" w:name="NGCSBookmark"/>
            <w:bookmarkEnd w:id="0"/>
            <w:r>
              <w:rPr>
                <w:rFonts w:ascii="Arial" w:hAnsi="Arial"/>
                <w:b/>
                <w:bCs/>
                <w:sz w:val="26"/>
                <w:szCs w:val="26"/>
                <w:rtl/>
              </w:rPr>
              <w:t xml:space="preserve">לפני </w:t>
            </w:r>
          </w:p>
        </w:tc>
        <w:tc>
          <w:tcPr>
            <w:tcW w:w="8077" w:type="dxa"/>
            <w:tcBorders>
              <w:top w:val="nil"/>
              <w:left w:val="nil"/>
              <w:bottom w:val="nil"/>
              <w:right w:val="nil"/>
            </w:tcBorders>
            <w:hideMark/>
          </w:tcPr>
          <w:p w:rsidR="005B163D" w:rsidRDefault="005B163D">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 סגן הנשיאה</w:t>
                </w:r>
              </w:sdtContent>
            </w:sdt>
            <w:r>
              <w:rPr>
                <w:rFonts w:ascii="Arial" w:hAnsi="Arial"/>
                <w:b/>
                <w:bCs/>
                <w:sz w:val="26"/>
                <w:szCs w:val="26"/>
                <w:rtl/>
              </w:rPr>
              <w:t xml:space="preserve"> </w:t>
            </w:r>
            <w:sdt>
              <w:sdtPr>
                <w:rPr>
                  <w:b/>
                  <w:bCs/>
                  <w:sz w:val="26"/>
                  <w:szCs w:val="26"/>
                  <w:rtl/>
                </w:rPr>
                <w:alias w:val="1573"/>
                <w:tag w:val="1573"/>
                <w:id w:val="-1262760292"/>
                <w:text w:multiLine="1"/>
              </w:sdtPr>
              <w:sdtEndPr/>
              <w:sdtContent>
                <w:r>
                  <w:rPr>
                    <w:b/>
                    <w:bCs/>
                    <w:sz w:val="26"/>
                    <w:szCs w:val="26"/>
                    <w:rtl/>
                  </w:rPr>
                  <w:t xml:space="preserve">עמי </w:t>
                </w:r>
                <w:r>
                  <w:rPr>
                    <w:rFonts w:ascii="Arial" w:hAnsi="Arial"/>
                    <w:b/>
                    <w:bCs/>
                    <w:sz w:val="26"/>
                    <w:szCs w:val="26"/>
                    <w:rtl/>
                  </w:rPr>
                  <w:t>קובו</w:t>
                </w:r>
              </w:sdtContent>
            </w:sdt>
            <w:sdt>
              <w:sdtPr>
                <w:rPr>
                  <w:sz w:val="26"/>
                  <w:szCs w:val="26"/>
                  <w:rtl/>
                </w:rPr>
                <w:alias w:val="1574"/>
                <w:tag w:val="1574"/>
                <w:id w:val="-261140416"/>
                <w:text w:multiLine="1"/>
              </w:sdtPr>
              <w:sdtEndPr/>
              <w:sdtContent>
                <w:r>
                  <w:rPr>
                    <w:rFonts w:ascii="Arial" w:hAnsi="Arial"/>
                    <w:b/>
                    <w:bCs/>
                    <w:sz w:val="26"/>
                    <w:szCs w:val="26"/>
                    <w:rtl/>
                  </w:rPr>
                  <w:t xml:space="preserve"> – אב"ד</w:t>
                </w:r>
                <w:r>
                  <w:rPr>
                    <w:rFonts w:ascii="Arial" w:hAnsi="Arial"/>
                    <w:b/>
                    <w:bCs/>
                    <w:sz w:val="26"/>
                    <w:szCs w:val="26"/>
                    <w:rtl/>
                  </w:rPr>
                  <w:br/>
                  <w:t>כב' השופט</w:t>
                </w:r>
              </w:sdtContent>
            </w:sdt>
            <w:r>
              <w:rPr>
                <w:rFonts w:ascii="Arial" w:hAnsi="Arial"/>
                <w:b/>
                <w:bCs/>
                <w:sz w:val="26"/>
                <w:szCs w:val="26"/>
                <w:rtl/>
              </w:rPr>
              <w:t xml:space="preserve"> </w:t>
            </w:r>
            <w:sdt>
              <w:sdtPr>
                <w:rPr>
                  <w:sz w:val="26"/>
                  <w:szCs w:val="26"/>
                  <w:rtl/>
                </w:rPr>
                <w:alias w:val="1573"/>
                <w:tag w:val="1573"/>
                <w:id w:val="-361590509"/>
                <w:text w:multiLine="1"/>
              </w:sdtPr>
              <w:sdtEndPr/>
              <w:sdtContent>
                <w:r>
                  <w:rPr>
                    <w:rFonts w:ascii="Arial" w:hAnsi="Arial"/>
                    <w:b/>
                    <w:bCs/>
                    <w:sz w:val="26"/>
                    <w:szCs w:val="26"/>
                    <w:rtl/>
                  </w:rPr>
                  <w:t>מיכאל קרשן</w:t>
                </w:r>
                <w:r>
                  <w:rPr>
                    <w:rFonts w:ascii="Arial" w:hAnsi="Arial"/>
                    <w:b/>
                    <w:bCs/>
                    <w:sz w:val="26"/>
                    <w:szCs w:val="26"/>
                    <w:rtl/>
                  </w:rPr>
                  <w:br/>
                </w:r>
              </w:sdtContent>
            </w:sdt>
            <w:sdt>
              <w:sdtPr>
                <w:rPr>
                  <w:sz w:val="26"/>
                  <w:szCs w:val="26"/>
                  <w:rtl/>
                </w:rPr>
                <w:alias w:val="1574"/>
                <w:tag w:val="1574"/>
                <w:id w:val="1308283864"/>
                <w:text w:multiLine="1"/>
              </w:sdtPr>
              <w:sdtEndPr/>
              <w:sdtContent>
                <w:r>
                  <w:rPr>
                    <w:rFonts w:ascii="Arial" w:hAnsi="Arial"/>
                    <w:b/>
                    <w:bCs/>
                    <w:sz w:val="26"/>
                    <w:szCs w:val="26"/>
                    <w:rtl/>
                  </w:rPr>
                  <w:t>כב' השופטת</w:t>
                </w:r>
              </w:sdtContent>
            </w:sdt>
            <w:r>
              <w:rPr>
                <w:rFonts w:ascii="Arial" w:hAnsi="Arial"/>
                <w:b/>
                <w:bCs/>
                <w:sz w:val="26"/>
                <w:szCs w:val="26"/>
                <w:rtl/>
              </w:rPr>
              <w:t xml:space="preserve"> </w:t>
            </w:r>
            <w:sdt>
              <w:sdtPr>
                <w:rPr>
                  <w:sz w:val="26"/>
                  <w:szCs w:val="26"/>
                  <w:rtl/>
                </w:rPr>
                <w:alias w:val="1573"/>
                <w:tag w:val="1573"/>
                <w:id w:val="1659102242"/>
                <w:text w:multiLine="1"/>
              </w:sdtPr>
              <w:sdtEndPr/>
              <w:sdtContent>
                <w:r>
                  <w:rPr>
                    <w:rFonts w:ascii="Arial" w:hAnsi="Arial"/>
                    <w:b/>
                    <w:bCs/>
                    <w:sz w:val="26"/>
                    <w:szCs w:val="26"/>
                    <w:rtl/>
                  </w:rPr>
                  <w:t>מרב גרינברג</w:t>
                </w:r>
              </w:sdtContent>
            </w:sdt>
          </w:p>
        </w:tc>
      </w:tr>
    </w:tbl>
    <w:p w:rsidR="005B163D" w:rsidRDefault="005B163D" w:rsidP="005B163D">
      <w:pPr>
        <w:rPr>
          <w:rFonts w:ascii="Arial (W1)" w:hAnsi="Arial (W1)"/>
        </w:rPr>
      </w:pPr>
    </w:p>
    <w:tbl>
      <w:tblPr>
        <w:tblStyle w:val="aa"/>
        <w:bidiVisual/>
        <w:tblW w:w="8820" w:type="dxa"/>
        <w:jc w:val="center"/>
        <w:tblLook w:val="01E0" w:firstRow="1" w:lastRow="1" w:firstColumn="1" w:lastColumn="1" w:noHBand="0" w:noVBand="0"/>
      </w:tblPr>
      <w:tblGrid>
        <w:gridCol w:w="1027"/>
        <w:gridCol w:w="4084"/>
        <w:gridCol w:w="3709"/>
      </w:tblGrid>
      <w:tr w:rsidR="005B163D" w:rsidTr="005B163D">
        <w:trPr>
          <w:trHeight w:val="355"/>
          <w:jc w:val="center"/>
        </w:trPr>
        <w:tc>
          <w:tcPr>
            <w:tcW w:w="1027" w:type="dxa"/>
            <w:tcBorders>
              <w:top w:val="nil"/>
              <w:left w:val="nil"/>
              <w:bottom w:val="nil"/>
              <w:right w:val="nil"/>
            </w:tcBorders>
          </w:tcPr>
          <w:p w:rsidR="005B163D" w:rsidRDefault="005B163D">
            <w:pPr>
              <w:jc w:val="both"/>
              <w:rPr>
                <w:rFonts w:ascii="David" w:hAnsi="David"/>
                <w:b/>
                <w:bCs/>
                <w:sz w:val="26"/>
                <w:szCs w:val="26"/>
                <w:rtl/>
              </w:rPr>
            </w:pPr>
          </w:p>
          <w:p w:rsidR="005B163D" w:rsidRDefault="005B163D">
            <w:pPr>
              <w:jc w:val="both"/>
              <w:rPr>
                <w:rFonts w:ascii="David" w:hAnsi="David"/>
                <w:b/>
                <w:bCs/>
                <w:sz w:val="26"/>
                <w:szCs w:val="26"/>
                <w:rtl/>
              </w:rPr>
            </w:pPr>
            <w:r>
              <w:rPr>
                <w:rFonts w:ascii="David" w:hAnsi="David"/>
                <w:b/>
                <w:bCs/>
                <w:sz w:val="26"/>
                <w:szCs w:val="26"/>
                <w:rtl/>
              </w:rPr>
              <w:t>בעניין:</w:t>
            </w:r>
          </w:p>
        </w:tc>
        <w:tc>
          <w:tcPr>
            <w:tcW w:w="4084" w:type="dxa"/>
            <w:tcBorders>
              <w:top w:val="nil"/>
              <w:left w:val="nil"/>
              <w:bottom w:val="nil"/>
              <w:right w:val="nil"/>
            </w:tcBorders>
          </w:tcPr>
          <w:p w:rsidR="005B163D" w:rsidRDefault="005B163D">
            <w:pPr>
              <w:rPr>
                <w:rFonts w:ascii="David" w:hAnsi="David"/>
                <w:b/>
                <w:bCs/>
                <w:sz w:val="26"/>
                <w:szCs w:val="26"/>
              </w:rPr>
            </w:pPr>
          </w:p>
          <w:p w:rsidR="005B163D" w:rsidRDefault="00D24D55">
            <w:pPr>
              <w:rPr>
                <w:rFonts w:ascii="David" w:hAnsi="David"/>
                <w:sz w:val="26"/>
                <w:szCs w:val="26"/>
                <w:rtl/>
              </w:rPr>
            </w:pPr>
            <w:sdt>
              <w:sdtPr>
                <w:rPr>
                  <w:rFonts w:ascii="David" w:hAnsi="David"/>
                  <w:sz w:val="26"/>
                  <w:szCs w:val="26"/>
                  <w:rtl/>
                </w:rPr>
                <w:alias w:val="1478"/>
                <w:tag w:val="1478"/>
                <w:id w:val="-188685930"/>
                <w:text w:multiLine="1"/>
              </w:sdtPr>
              <w:sdtEndPr/>
              <w:sdtContent>
                <w:r w:rsidR="005B163D">
                  <w:rPr>
                    <w:rFonts w:ascii="David" w:hAnsi="David"/>
                    <w:b/>
                    <w:bCs/>
                    <w:sz w:val="26"/>
                    <w:szCs w:val="26"/>
                    <w:rtl/>
                  </w:rPr>
                  <w:t>מדינת ישראל</w:t>
                </w:r>
              </w:sdtContent>
            </w:sdt>
            <w:r w:rsidR="005B163D">
              <w:rPr>
                <w:rFonts w:ascii="David" w:hAnsi="David"/>
                <w:sz w:val="26"/>
                <w:szCs w:val="26"/>
                <w:rtl/>
              </w:rPr>
              <w:t xml:space="preserve"> </w:t>
            </w:r>
          </w:p>
          <w:p w:rsidR="005B163D" w:rsidRDefault="005B163D">
            <w:pPr>
              <w:rPr>
                <w:rFonts w:ascii="Arial" w:hAnsi="Arial"/>
                <w:rtl/>
              </w:rPr>
            </w:pPr>
            <w:r>
              <w:rPr>
                <w:rFonts w:ascii="Arial" w:hAnsi="Arial"/>
                <w:rtl/>
              </w:rPr>
              <w:t>באמצעות פרקליטות מחוז מרכז</w:t>
            </w:r>
          </w:p>
          <w:p w:rsidR="005B163D" w:rsidRDefault="005B163D">
            <w:pPr>
              <w:rPr>
                <w:rFonts w:ascii="David" w:hAnsi="David"/>
                <w:b/>
                <w:bCs/>
                <w:sz w:val="26"/>
                <w:szCs w:val="26"/>
                <w:rtl/>
              </w:rPr>
            </w:pPr>
            <w:r>
              <w:rPr>
                <w:rFonts w:ascii="Arial" w:hAnsi="Arial"/>
                <w:rtl/>
              </w:rPr>
              <w:t>ע"י עו"ד</w:t>
            </w:r>
            <w:r>
              <w:rPr>
                <w:rFonts w:ascii="David" w:hAnsi="David"/>
                <w:rtl/>
              </w:rPr>
              <w:t xml:space="preserve"> שירה סוכצקי</w:t>
            </w:r>
          </w:p>
        </w:tc>
        <w:tc>
          <w:tcPr>
            <w:tcW w:w="3709" w:type="dxa"/>
            <w:tcBorders>
              <w:top w:val="nil"/>
              <w:left w:val="nil"/>
              <w:bottom w:val="nil"/>
              <w:right w:val="nil"/>
            </w:tcBorders>
          </w:tcPr>
          <w:p w:rsidR="005B163D" w:rsidRDefault="005B163D">
            <w:pPr>
              <w:jc w:val="both"/>
              <w:rPr>
                <w:rFonts w:ascii="David" w:hAnsi="David"/>
                <w:b/>
                <w:bCs/>
                <w:sz w:val="26"/>
                <w:szCs w:val="26"/>
              </w:rPr>
            </w:pPr>
          </w:p>
        </w:tc>
      </w:tr>
      <w:tr w:rsidR="005B163D" w:rsidTr="005B163D">
        <w:trPr>
          <w:trHeight w:val="355"/>
          <w:jc w:val="center"/>
        </w:trPr>
        <w:tc>
          <w:tcPr>
            <w:tcW w:w="1027" w:type="dxa"/>
            <w:tcBorders>
              <w:top w:val="nil"/>
              <w:left w:val="nil"/>
              <w:bottom w:val="nil"/>
              <w:right w:val="nil"/>
            </w:tcBorders>
          </w:tcPr>
          <w:p w:rsidR="005B163D" w:rsidRDefault="005B163D">
            <w:pPr>
              <w:jc w:val="both"/>
              <w:rPr>
                <w:rFonts w:ascii="David" w:hAnsi="David"/>
                <w:b/>
                <w:bCs/>
                <w:sz w:val="26"/>
                <w:szCs w:val="26"/>
              </w:rPr>
            </w:pPr>
          </w:p>
        </w:tc>
        <w:tc>
          <w:tcPr>
            <w:tcW w:w="4084" w:type="dxa"/>
            <w:tcBorders>
              <w:top w:val="nil"/>
              <w:left w:val="nil"/>
              <w:bottom w:val="nil"/>
              <w:right w:val="nil"/>
            </w:tcBorders>
          </w:tcPr>
          <w:p w:rsidR="005B163D" w:rsidRDefault="005B163D">
            <w:pPr>
              <w:jc w:val="both"/>
              <w:rPr>
                <w:rFonts w:ascii="David" w:hAnsi="David"/>
                <w:b/>
                <w:bCs/>
                <w:sz w:val="26"/>
                <w:szCs w:val="26"/>
                <w:rtl/>
              </w:rPr>
            </w:pPr>
          </w:p>
        </w:tc>
        <w:tc>
          <w:tcPr>
            <w:tcW w:w="3709" w:type="dxa"/>
            <w:tcBorders>
              <w:top w:val="nil"/>
              <w:left w:val="nil"/>
              <w:bottom w:val="nil"/>
              <w:right w:val="nil"/>
            </w:tcBorders>
            <w:hideMark/>
          </w:tcPr>
          <w:p w:rsidR="005B163D" w:rsidRDefault="005B163D">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5B163D" w:rsidTr="005B163D">
        <w:trPr>
          <w:trHeight w:val="355"/>
          <w:jc w:val="center"/>
        </w:trPr>
        <w:tc>
          <w:tcPr>
            <w:tcW w:w="1027" w:type="dxa"/>
            <w:tcBorders>
              <w:top w:val="nil"/>
              <w:left w:val="nil"/>
              <w:bottom w:val="nil"/>
              <w:right w:val="nil"/>
            </w:tcBorders>
          </w:tcPr>
          <w:p w:rsidR="005B163D" w:rsidRDefault="005B163D">
            <w:pPr>
              <w:jc w:val="both"/>
              <w:rPr>
                <w:rFonts w:ascii="David" w:hAnsi="David"/>
                <w:b/>
                <w:bCs/>
                <w:sz w:val="26"/>
                <w:szCs w:val="26"/>
                <w:rtl/>
              </w:rPr>
            </w:pPr>
          </w:p>
        </w:tc>
        <w:tc>
          <w:tcPr>
            <w:tcW w:w="7793" w:type="dxa"/>
            <w:gridSpan w:val="2"/>
            <w:tcBorders>
              <w:top w:val="nil"/>
              <w:left w:val="nil"/>
              <w:bottom w:val="nil"/>
              <w:right w:val="nil"/>
            </w:tcBorders>
          </w:tcPr>
          <w:p w:rsidR="005B163D" w:rsidRDefault="005B163D">
            <w:pPr>
              <w:jc w:val="center"/>
              <w:rPr>
                <w:rFonts w:ascii="David" w:hAnsi="David"/>
                <w:b/>
                <w:bCs/>
                <w:sz w:val="26"/>
                <w:szCs w:val="26"/>
                <w:rtl/>
              </w:rPr>
            </w:pPr>
          </w:p>
          <w:p w:rsidR="005B163D" w:rsidRDefault="005B163D">
            <w:pPr>
              <w:jc w:val="center"/>
              <w:rPr>
                <w:rFonts w:ascii="David" w:hAnsi="David"/>
                <w:b/>
                <w:bCs/>
                <w:sz w:val="26"/>
                <w:szCs w:val="26"/>
                <w:rtl/>
              </w:rPr>
            </w:pPr>
            <w:r>
              <w:rPr>
                <w:rFonts w:ascii="David" w:hAnsi="David"/>
                <w:b/>
                <w:bCs/>
                <w:sz w:val="26"/>
                <w:szCs w:val="26"/>
                <w:rtl/>
              </w:rPr>
              <w:t>נגד</w:t>
            </w:r>
          </w:p>
          <w:p w:rsidR="005B163D" w:rsidRDefault="005B163D">
            <w:pPr>
              <w:jc w:val="both"/>
              <w:rPr>
                <w:rFonts w:ascii="David" w:hAnsi="David"/>
                <w:b/>
                <w:bCs/>
                <w:sz w:val="26"/>
                <w:szCs w:val="26"/>
                <w:rtl/>
              </w:rPr>
            </w:pPr>
          </w:p>
        </w:tc>
      </w:tr>
      <w:tr w:rsidR="005B163D" w:rsidTr="005B163D">
        <w:trPr>
          <w:trHeight w:val="355"/>
          <w:jc w:val="center"/>
        </w:trPr>
        <w:tc>
          <w:tcPr>
            <w:tcW w:w="1027" w:type="dxa"/>
            <w:tcBorders>
              <w:top w:val="nil"/>
              <w:left w:val="nil"/>
              <w:bottom w:val="nil"/>
              <w:right w:val="nil"/>
            </w:tcBorders>
          </w:tcPr>
          <w:p w:rsidR="005B163D" w:rsidRDefault="005B163D">
            <w:pPr>
              <w:jc w:val="both"/>
              <w:rPr>
                <w:rFonts w:ascii="David" w:hAnsi="David"/>
                <w:b/>
                <w:bCs/>
                <w:sz w:val="26"/>
                <w:szCs w:val="26"/>
              </w:rPr>
            </w:pPr>
          </w:p>
        </w:tc>
        <w:tc>
          <w:tcPr>
            <w:tcW w:w="4084" w:type="dxa"/>
            <w:tcBorders>
              <w:top w:val="nil"/>
              <w:left w:val="nil"/>
              <w:bottom w:val="nil"/>
              <w:right w:val="nil"/>
            </w:tcBorders>
            <w:hideMark/>
          </w:tcPr>
          <w:p w:rsidR="005B163D" w:rsidRDefault="00D24D55" w:rsidP="005B163D">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5B163D">
                  <w:rPr>
                    <w:rFonts w:ascii="David" w:hAnsi="David" w:hint="cs"/>
                    <w:b/>
                    <w:bCs/>
                    <w:sz w:val="26"/>
                    <w:szCs w:val="26"/>
                    <w:rtl/>
                  </w:rPr>
                  <w:t>פלוני</w:t>
                </w:r>
              </w:sdtContent>
            </w:sdt>
            <w:r w:rsidR="005B163D">
              <w:rPr>
                <w:rFonts w:ascii="David" w:hAnsi="David"/>
                <w:sz w:val="26"/>
                <w:szCs w:val="26"/>
                <w:rtl/>
              </w:rPr>
              <w:t xml:space="preserve"> </w:t>
            </w:r>
          </w:p>
          <w:p w:rsidR="005B163D" w:rsidRDefault="005B163D">
            <w:pPr>
              <w:rPr>
                <w:rFonts w:ascii="David" w:hAnsi="David"/>
                <w:rtl/>
              </w:rPr>
            </w:pPr>
            <w:r>
              <w:rPr>
                <w:rFonts w:ascii="Arial" w:hAnsi="Arial"/>
                <w:rtl/>
              </w:rPr>
              <w:t>ע"י עו"ד</w:t>
            </w:r>
            <w:r>
              <w:rPr>
                <w:rFonts w:ascii="David" w:hAnsi="David"/>
                <w:rtl/>
              </w:rPr>
              <w:t xml:space="preserve"> שירן ברגמן</w:t>
            </w:r>
          </w:p>
        </w:tc>
        <w:tc>
          <w:tcPr>
            <w:tcW w:w="3709" w:type="dxa"/>
            <w:tcBorders>
              <w:top w:val="nil"/>
              <w:left w:val="nil"/>
              <w:bottom w:val="nil"/>
              <w:right w:val="nil"/>
            </w:tcBorders>
          </w:tcPr>
          <w:p w:rsidR="005B163D" w:rsidRDefault="005B163D">
            <w:pPr>
              <w:jc w:val="right"/>
              <w:rPr>
                <w:rFonts w:ascii="David" w:hAnsi="David"/>
                <w:b/>
                <w:bCs/>
                <w:sz w:val="26"/>
                <w:szCs w:val="26"/>
                <w:rtl/>
              </w:rPr>
            </w:pPr>
          </w:p>
        </w:tc>
      </w:tr>
      <w:tr w:rsidR="005B163D" w:rsidTr="005B163D">
        <w:trPr>
          <w:trHeight w:val="355"/>
          <w:jc w:val="center"/>
        </w:trPr>
        <w:tc>
          <w:tcPr>
            <w:tcW w:w="1027" w:type="dxa"/>
            <w:tcBorders>
              <w:top w:val="nil"/>
              <w:left w:val="nil"/>
              <w:bottom w:val="nil"/>
              <w:right w:val="nil"/>
            </w:tcBorders>
          </w:tcPr>
          <w:p w:rsidR="005B163D" w:rsidRDefault="005B163D">
            <w:pPr>
              <w:jc w:val="both"/>
              <w:rPr>
                <w:rFonts w:ascii="David" w:hAnsi="David"/>
                <w:b/>
                <w:bCs/>
                <w:sz w:val="26"/>
                <w:szCs w:val="26"/>
              </w:rPr>
            </w:pPr>
          </w:p>
        </w:tc>
        <w:tc>
          <w:tcPr>
            <w:tcW w:w="4084" w:type="dxa"/>
            <w:tcBorders>
              <w:top w:val="nil"/>
              <w:left w:val="nil"/>
              <w:bottom w:val="nil"/>
              <w:right w:val="nil"/>
            </w:tcBorders>
          </w:tcPr>
          <w:p w:rsidR="005B163D" w:rsidRDefault="005B163D">
            <w:pPr>
              <w:jc w:val="both"/>
              <w:rPr>
                <w:rFonts w:ascii="David" w:hAnsi="David"/>
                <w:b/>
                <w:bCs/>
                <w:sz w:val="26"/>
                <w:szCs w:val="26"/>
                <w:rtl/>
              </w:rPr>
            </w:pPr>
          </w:p>
        </w:tc>
        <w:tc>
          <w:tcPr>
            <w:tcW w:w="3709" w:type="dxa"/>
            <w:tcBorders>
              <w:top w:val="nil"/>
              <w:left w:val="nil"/>
              <w:bottom w:val="nil"/>
              <w:right w:val="nil"/>
            </w:tcBorders>
            <w:hideMark/>
          </w:tcPr>
          <w:p w:rsidR="005B163D" w:rsidRDefault="005B163D">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5B163D" w:rsidRDefault="005B163D" w:rsidP="005B163D">
      <w:pPr>
        <w:rPr>
          <w:rFonts w:ascii="Arial (W1)" w:hAnsi="Arial (W1)"/>
        </w:rPr>
      </w:pPr>
    </w:p>
    <w:p w:rsidR="005B163D" w:rsidRPr="005B163D" w:rsidRDefault="005B163D" w:rsidP="005B163D">
      <w:pPr>
        <w:jc w:val="center"/>
        <w:rPr>
          <w:u w:val="single"/>
          <w:rtl/>
        </w:rPr>
      </w:pPr>
      <w:r w:rsidRPr="005B163D">
        <w:rPr>
          <w:rFonts w:hint="cs"/>
          <w:u w:val="single"/>
          <w:rtl/>
        </w:rPr>
        <w:t>נוסח זה של הכרעת הדין מותר בפרסום</w:t>
      </w:r>
    </w:p>
    <w:tbl>
      <w:tblPr>
        <w:tblStyle w:val="aa"/>
        <w:bidiVisual/>
        <w:tblW w:w="8820" w:type="dxa"/>
        <w:jc w:val="center"/>
        <w:tblLook w:val="01E0" w:firstRow="1" w:lastRow="1" w:firstColumn="1" w:lastColumn="1" w:noHBand="0" w:noVBand="0"/>
      </w:tblPr>
      <w:tblGrid>
        <w:gridCol w:w="8820"/>
      </w:tblGrid>
      <w:tr w:rsidR="005B163D" w:rsidTr="005B163D">
        <w:trPr>
          <w:trHeight w:val="355"/>
          <w:jc w:val="center"/>
        </w:trPr>
        <w:tc>
          <w:tcPr>
            <w:tcW w:w="8820" w:type="dxa"/>
            <w:tcBorders>
              <w:top w:val="nil"/>
              <w:left w:val="nil"/>
              <w:bottom w:val="nil"/>
              <w:right w:val="nil"/>
            </w:tcBorders>
            <w:hideMark/>
          </w:tcPr>
          <w:p w:rsidR="005B163D" w:rsidRDefault="005B163D">
            <w:pPr>
              <w:jc w:val="center"/>
              <w:rPr>
                <w:rFonts w:ascii="Arial" w:hAnsi="Arial"/>
                <w:sz w:val="28"/>
                <w:szCs w:val="28"/>
                <w:u w:val="single"/>
                <w:rtl/>
              </w:rPr>
            </w:pPr>
            <w:r>
              <w:rPr>
                <w:rFonts w:ascii="Arial" w:hAnsi="Arial"/>
                <w:b/>
                <w:bCs/>
                <w:sz w:val="28"/>
                <w:szCs w:val="28"/>
                <w:u w:val="single"/>
                <w:rtl/>
              </w:rPr>
              <w:t>הכרעת דין</w:t>
            </w:r>
          </w:p>
        </w:tc>
      </w:tr>
    </w:tbl>
    <w:p w:rsidR="005B163D" w:rsidRDefault="005B163D" w:rsidP="005B163D">
      <w:pPr>
        <w:rPr>
          <w:rFonts w:ascii="David" w:hAnsi="David"/>
          <w:sz w:val="26"/>
          <w:szCs w:val="26"/>
          <w:rtl/>
        </w:rPr>
      </w:pPr>
    </w:p>
    <w:p w:rsidR="005B163D" w:rsidRDefault="005B163D" w:rsidP="005B163D">
      <w:pPr>
        <w:rPr>
          <w:rFonts w:ascii="David" w:hAnsi="David"/>
          <w:sz w:val="26"/>
          <w:szCs w:val="26"/>
          <w:rtl/>
        </w:rPr>
      </w:pPr>
    </w:p>
    <w:p w:rsidR="005B163D" w:rsidRDefault="005B163D" w:rsidP="005B163D">
      <w:pPr>
        <w:shd w:val="clear" w:color="auto" w:fill="FFFFFF"/>
        <w:spacing w:line="360" w:lineRule="atLeast"/>
        <w:ind w:firstLine="84"/>
        <w:jc w:val="both"/>
        <w:rPr>
          <w:rFonts w:ascii="Narkisim" w:hAnsi="Narkisim" w:cs="Narkisim"/>
          <w:b/>
          <w:bCs/>
          <w:color w:val="000000"/>
          <w:sz w:val="28"/>
          <w:szCs w:val="28"/>
          <w:u w:val="single"/>
          <w:rtl/>
        </w:rPr>
      </w:pPr>
      <w:r>
        <w:rPr>
          <w:rFonts w:ascii="Narkisim" w:hAnsi="Narkisim" w:cs="Narkisim"/>
          <w:b/>
          <w:bCs/>
          <w:color w:val="000000"/>
          <w:sz w:val="28"/>
          <w:szCs w:val="28"/>
          <w:u w:val="single"/>
          <w:rtl/>
        </w:rPr>
        <w:t>השופט מיכאל קרשן</w:t>
      </w:r>
    </w:p>
    <w:p w:rsidR="005B163D" w:rsidRDefault="005B163D" w:rsidP="005B163D">
      <w:pPr>
        <w:shd w:val="clear" w:color="auto" w:fill="FFFFFF"/>
        <w:spacing w:line="360" w:lineRule="atLeast"/>
        <w:ind w:left="84"/>
        <w:jc w:val="both"/>
        <w:rPr>
          <w:rFonts w:ascii="David" w:hAnsi="David"/>
          <w:color w:val="000000"/>
        </w:rPr>
      </w:pPr>
      <w:r>
        <w:rPr>
          <w:rFonts w:ascii="David" w:hAnsi="David"/>
          <w:color w:val="000000"/>
          <w:rtl/>
        </w:rPr>
        <w:t xml:space="preserve">בהתאם להוראת סעיף 182 לחוק סדר הדין הפלילי [נוסח משולב], התשמ"ב-1982, אודיע כי החלטתנו </w:t>
      </w:r>
      <w:r>
        <w:rPr>
          <w:rFonts w:ascii="David" w:hAnsi="David"/>
          <w:b/>
          <w:bCs/>
          <w:color w:val="000000"/>
          <w:rtl/>
        </w:rPr>
        <w:t>לזכות</w:t>
      </w:r>
      <w:r>
        <w:rPr>
          <w:rFonts w:ascii="David" w:hAnsi="David"/>
          <w:color w:val="000000"/>
          <w:rtl/>
        </w:rPr>
        <w:t xml:space="preserve"> את הנאשם, מחמת הספק, מביצוע העבירות של מעשה מגונה בקטין, לפי סעיף 348(ב) בנסיבות סעיף 345(ב)(1) ו-345(א)(1) ל</w:t>
      </w:r>
      <w:r>
        <w:rPr>
          <w:rFonts w:ascii="David" w:hAnsi="David"/>
          <w:rtl/>
        </w:rPr>
        <w:t>חוק העונשין</w:t>
      </w:r>
      <w:r>
        <w:rPr>
          <w:rFonts w:ascii="David" w:hAnsi="David"/>
          <w:color w:val="000000"/>
          <w:rtl/>
        </w:rPr>
        <w:t>, התשל"ז-1977 (להלן: </w:t>
      </w:r>
      <w:r>
        <w:rPr>
          <w:rFonts w:ascii="Miriam" w:hAnsi="Miriam" w:cs="Miriam"/>
          <w:b/>
          <w:bCs/>
          <w:color w:val="000000"/>
          <w:rtl/>
        </w:rPr>
        <w:t>החוק</w:t>
      </w:r>
      <w:r>
        <w:rPr>
          <w:rFonts w:ascii="David" w:hAnsi="David"/>
          <w:color w:val="000000"/>
          <w:rtl/>
        </w:rPr>
        <w:t>), אשר פורטו בסעיפים 7, 8 ו-12 לאישום הראשון.</w:t>
      </w:r>
    </w:p>
    <w:p w:rsidR="005B163D" w:rsidRDefault="005B163D" w:rsidP="005B163D">
      <w:pPr>
        <w:shd w:val="clear" w:color="auto" w:fill="FFFFFF"/>
        <w:spacing w:line="360" w:lineRule="atLeast"/>
        <w:ind w:left="84"/>
        <w:jc w:val="both"/>
        <w:rPr>
          <w:rFonts w:ascii="David" w:hAnsi="David"/>
          <w:color w:val="000000"/>
          <w:rtl/>
        </w:rPr>
      </w:pPr>
    </w:p>
    <w:p w:rsidR="005B163D" w:rsidRDefault="005B163D" w:rsidP="009C586A">
      <w:pPr>
        <w:shd w:val="clear" w:color="auto" w:fill="FFFFFF"/>
        <w:spacing w:line="360" w:lineRule="atLeast"/>
        <w:ind w:left="84"/>
        <w:jc w:val="both"/>
        <w:rPr>
          <w:rFonts w:ascii="David" w:hAnsi="David"/>
          <w:color w:val="000000"/>
          <w:rtl/>
        </w:rPr>
      </w:pPr>
      <w:r>
        <w:rPr>
          <w:rFonts w:ascii="David" w:hAnsi="David"/>
          <w:b/>
          <w:bCs/>
          <w:color w:val="000000"/>
          <w:rtl/>
        </w:rPr>
        <w:t>לאחר שמיעת הראיות הודיעה המאשימה</w:t>
      </w:r>
      <w:r>
        <w:rPr>
          <w:rFonts w:ascii="David" w:hAnsi="David"/>
          <w:color w:val="000000"/>
          <w:rtl/>
        </w:rPr>
        <w:t>, בעקבות הערותינו,</w:t>
      </w:r>
      <w:r>
        <w:rPr>
          <w:rFonts w:ascii="David" w:hAnsi="David"/>
          <w:b/>
          <w:bCs/>
          <w:color w:val="000000"/>
          <w:rtl/>
        </w:rPr>
        <w:t xml:space="preserve"> כי בנוגע למעשים שבוצעו באישום הראשון תבקש להרשיע את הנאשם בריבוי עבירות של מעשה מגונה בקטינה, ללא הנסיבה המחמירה של בן משפחה </w:t>
      </w:r>
      <w:r>
        <w:rPr>
          <w:rFonts w:ascii="David" w:hAnsi="David"/>
          <w:color w:val="000000"/>
          <w:rtl/>
        </w:rPr>
        <w:t xml:space="preserve">(הודעת המאשימה מיום 16.3.2024). </w:t>
      </w:r>
      <w:r>
        <w:rPr>
          <w:rFonts w:ascii="David" w:hAnsi="David"/>
          <w:color w:val="000000"/>
          <w:u w:val="single"/>
          <w:rtl/>
        </w:rPr>
        <w:t>אשר על כן יזוכה הנאשם גם מביצוע עבירה של מעשה מגונה בבת משפחה, בהתאם לסעיף 351(ג)(2) לחוק, בקשר עם המעשים המיוחסים לו באישום הראשון</w:t>
      </w:r>
      <w:r>
        <w:rPr>
          <w:rFonts w:ascii="David" w:hAnsi="David"/>
          <w:color w:val="000000"/>
          <w:rtl/>
        </w:rPr>
        <w:t>.</w:t>
      </w:r>
    </w:p>
    <w:p w:rsidR="005B163D" w:rsidRDefault="005B163D" w:rsidP="005B163D">
      <w:pPr>
        <w:shd w:val="clear" w:color="auto" w:fill="FFFFFF"/>
        <w:spacing w:line="360" w:lineRule="atLeast"/>
        <w:ind w:left="84"/>
        <w:jc w:val="both"/>
        <w:rPr>
          <w:rFonts w:ascii="David" w:hAnsi="David"/>
          <w:color w:val="000000"/>
          <w:rtl/>
        </w:rPr>
      </w:pPr>
    </w:p>
    <w:p w:rsidR="005B163D" w:rsidRDefault="005B163D" w:rsidP="005B163D">
      <w:pPr>
        <w:shd w:val="clear" w:color="auto" w:fill="FFFFFF"/>
        <w:spacing w:line="360" w:lineRule="atLeast"/>
        <w:ind w:left="84"/>
        <w:jc w:val="both"/>
        <w:rPr>
          <w:rFonts w:ascii="David" w:hAnsi="David"/>
          <w:color w:val="000000"/>
          <w:rtl/>
        </w:rPr>
      </w:pPr>
      <w:r>
        <w:rPr>
          <w:rFonts w:ascii="David" w:hAnsi="David"/>
          <w:color w:val="000000"/>
          <w:rtl/>
        </w:rPr>
        <w:t xml:space="preserve">החלטנו </w:t>
      </w:r>
      <w:r>
        <w:rPr>
          <w:rFonts w:ascii="David" w:hAnsi="David"/>
          <w:b/>
          <w:bCs/>
          <w:color w:val="000000"/>
          <w:rtl/>
        </w:rPr>
        <w:t>להרשיע</w:t>
      </w:r>
      <w:r>
        <w:rPr>
          <w:rFonts w:ascii="David" w:hAnsi="David"/>
          <w:color w:val="000000"/>
          <w:rtl/>
        </w:rPr>
        <w:t xml:space="preserve"> את הנאשם בביצוע </w:t>
      </w:r>
      <w:r>
        <w:rPr>
          <w:rFonts w:ascii="David" w:hAnsi="David"/>
          <w:u w:val="single"/>
          <w:rtl/>
        </w:rPr>
        <w:t>שתי עבירות</w:t>
      </w:r>
      <w:r>
        <w:rPr>
          <w:rFonts w:ascii="David" w:hAnsi="David"/>
          <w:rtl/>
        </w:rPr>
        <w:t xml:space="preserve"> של מעשה מגונה בקטין, </w:t>
      </w:r>
      <w:r>
        <w:rPr>
          <w:rFonts w:ascii="David" w:hAnsi="David"/>
          <w:color w:val="000000"/>
          <w:rtl/>
        </w:rPr>
        <w:t>לפי סעיף 348(ב) בנסיבות סעיף 345(ב)(1) ו-345(א)(1) לחוק</w:t>
      </w:r>
      <w:r>
        <w:rPr>
          <w:rFonts w:ascii="David" w:hAnsi="David"/>
          <w:rtl/>
        </w:rPr>
        <w:t xml:space="preserve">, כמפורט באישום הראשון </w:t>
      </w:r>
      <w:r>
        <w:rPr>
          <w:rFonts w:ascii="David" w:hAnsi="David"/>
          <w:u w:val="single"/>
          <w:rtl/>
        </w:rPr>
        <w:t>ובחמש עבירות</w:t>
      </w:r>
      <w:r>
        <w:rPr>
          <w:rFonts w:ascii="David" w:hAnsi="David"/>
          <w:rtl/>
        </w:rPr>
        <w:t xml:space="preserve"> של מעשה מגונה בקטין, </w:t>
      </w:r>
      <w:r>
        <w:rPr>
          <w:rFonts w:ascii="David" w:hAnsi="David"/>
          <w:color w:val="000000"/>
          <w:rtl/>
        </w:rPr>
        <w:t>לפי סעיף 348(ב) בנסיבות סעיף 345(ב)(1) ו-345(א)(1) לחוק</w:t>
      </w:r>
      <w:r>
        <w:rPr>
          <w:rFonts w:ascii="David" w:hAnsi="David"/>
          <w:rtl/>
        </w:rPr>
        <w:t>, כמפורט באישום השני</w:t>
      </w:r>
      <w:r>
        <w:rPr>
          <w:rFonts w:ascii="David" w:hAnsi="David"/>
          <w:color w:val="000000"/>
          <w:rtl/>
        </w:rPr>
        <w:t>.</w:t>
      </w:r>
    </w:p>
    <w:p w:rsidR="005B163D" w:rsidRDefault="005B163D" w:rsidP="005B163D">
      <w:pPr>
        <w:bidi w:val="0"/>
        <w:rPr>
          <w:rFonts w:ascii="David" w:hAnsi="David"/>
          <w:color w:val="000000"/>
          <w:rtl/>
        </w:rPr>
      </w:pPr>
      <w:r>
        <w:rPr>
          <w:rFonts w:ascii="David" w:hAnsi="David"/>
          <w:color w:val="000000"/>
          <w:rtl/>
        </w:rPr>
        <w:br w:type="page"/>
      </w:r>
    </w:p>
    <w:p w:rsidR="005B163D" w:rsidRDefault="005B163D" w:rsidP="005B163D">
      <w:pPr>
        <w:shd w:val="clear" w:color="auto" w:fill="FFFFFF"/>
        <w:spacing w:line="360" w:lineRule="atLeast"/>
        <w:jc w:val="both"/>
        <w:rPr>
          <w:rFonts w:ascii="David" w:hAnsi="David"/>
          <w:color w:val="000000"/>
          <w:rtl/>
        </w:rPr>
      </w:pPr>
    </w:p>
    <w:p w:rsidR="005B163D" w:rsidRDefault="005B163D" w:rsidP="005B163D">
      <w:pPr>
        <w:shd w:val="clear" w:color="auto" w:fill="FFFFFF"/>
        <w:spacing w:line="360" w:lineRule="atLeast"/>
        <w:ind w:firstLine="84"/>
        <w:jc w:val="both"/>
        <w:rPr>
          <w:rFonts w:ascii="David" w:hAnsi="David"/>
          <w:b/>
          <w:bCs/>
          <w:color w:val="000000"/>
          <w:u w:val="single"/>
          <w:rtl/>
        </w:rPr>
      </w:pPr>
      <w:r>
        <w:rPr>
          <w:rFonts w:ascii="David" w:hAnsi="David"/>
          <w:b/>
          <w:bCs/>
          <w:color w:val="000000"/>
          <w:u w:val="single"/>
          <w:rtl/>
        </w:rPr>
        <w:t>כתב האישום</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הנאשם, יליד 1961, עומד לדין בעוון </w:t>
      </w:r>
      <w:r>
        <w:rPr>
          <w:rFonts w:ascii="David" w:eastAsia="Times New Roman" w:hAnsi="David" w:cs="David"/>
          <w:b/>
          <w:bCs/>
          <w:color w:val="000000"/>
          <w:sz w:val="24"/>
          <w:szCs w:val="24"/>
          <w:rtl/>
        </w:rPr>
        <w:t>ריבוי עבירות של</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מעשה מגונה בקטינה א.ב,</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ילידת פברואר 2012</w:t>
      </w:r>
      <w:r>
        <w:rPr>
          <w:rFonts w:ascii="David" w:eastAsia="Times New Roman" w:hAnsi="David" w:cs="David"/>
          <w:color w:val="000000"/>
          <w:sz w:val="24"/>
          <w:szCs w:val="24"/>
          <w:rtl/>
        </w:rPr>
        <w:t xml:space="preserve">, </w:t>
      </w:r>
      <w:r>
        <w:rPr>
          <w:rFonts w:ascii="David" w:eastAsia="Times New Roman" w:hAnsi="David" w:cs="David"/>
          <w:b/>
          <w:bCs/>
          <w:color w:val="000000"/>
          <w:sz w:val="24"/>
          <w:szCs w:val="24"/>
          <w:rtl/>
        </w:rPr>
        <w:t>בת משפחתו</w:t>
      </w:r>
      <w:r>
        <w:rPr>
          <w:rFonts w:ascii="David" w:eastAsia="Times New Roman" w:hAnsi="David" w:cs="David"/>
          <w:color w:val="000000"/>
          <w:sz w:val="24"/>
          <w:szCs w:val="24"/>
          <w:rtl/>
        </w:rPr>
        <w:t xml:space="preserve"> (להלן גם: </w:t>
      </w:r>
      <w:r>
        <w:rPr>
          <w:rFonts w:ascii="Miriam" w:eastAsia="Times New Roman" w:hAnsi="Miriam" w:cs="Miriam"/>
          <w:b/>
          <w:bCs/>
          <w:color w:val="000000"/>
          <w:sz w:val="24"/>
          <w:szCs w:val="24"/>
          <w:rtl/>
        </w:rPr>
        <w:t>הקטינה</w:t>
      </w:r>
      <w:r>
        <w:rPr>
          <w:rFonts w:ascii="David" w:eastAsia="Times New Roman" w:hAnsi="David" w:cs="David"/>
          <w:color w:val="000000"/>
          <w:sz w:val="24"/>
          <w:szCs w:val="24"/>
          <w:rtl/>
        </w:rPr>
        <w:t xml:space="preserve">), בהתאם לסעיף 351(ג)(2) בנסיבות סעיפים 348(ב), 345(ב)(1) ו-345(א)(1) לחוק, </w:t>
      </w:r>
      <w:r>
        <w:rPr>
          <w:rFonts w:ascii="David" w:eastAsia="Times New Roman" w:hAnsi="David" w:cs="David"/>
          <w:b/>
          <w:bCs/>
          <w:color w:val="000000"/>
          <w:sz w:val="24"/>
          <w:szCs w:val="24"/>
          <w:rtl/>
        </w:rPr>
        <w:t>וכן בריבוי עבירות של מעשה מגונה בקטינה ב.ב, ילידת מרץ 2004,</w:t>
      </w:r>
      <w:r>
        <w:rPr>
          <w:rFonts w:ascii="David" w:eastAsia="Times New Roman" w:hAnsi="David" w:cs="David"/>
          <w:color w:val="000000"/>
          <w:sz w:val="24"/>
          <w:szCs w:val="24"/>
          <w:rtl/>
        </w:rPr>
        <w:t xml:space="preserve"> לפי סעיף 348(ב) בנסיבות סעיף 345(ב)(1) ו-345(א)(1) לחוק. </w:t>
      </w:r>
    </w:p>
    <w:p w:rsidR="005B163D" w:rsidRDefault="005B163D" w:rsidP="005B163D">
      <w:pPr>
        <w:shd w:val="clear" w:color="auto" w:fill="FFFFFF"/>
        <w:spacing w:line="360" w:lineRule="atLeast"/>
        <w:ind w:firstLine="720"/>
        <w:jc w:val="both"/>
        <w:rPr>
          <w:rFonts w:ascii="David" w:hAnsi="David"/>
          <w:color w:val="000000"/>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א.ב היא בתה של אישה עמה ניהל הנאשם קשר זוגי. על פי הנטען המעשים בקטינה בוצעו בשנת 2020, עת הייתה כבת 8; ב.ב היא בתה של אלמנת חברו הטוב של הנאשם. על פי הנטען המעשים ב-ב.ב. בוצעו בשנת 2014, עת הייתה כבת 10 או 11.</w:t>
      </w:r>
    </w:p>
    <w:p w:rsidR="005B163D" w:rsidRDefault="005B163D" w:rsidP="005B163D">
      <w:pPr>
        <w:shd w:val="clear" w:color="auto" w:fill="FFFFFF"/>
        <w:spacing w:line="360" w:lineRule="atLeast"/>
        <w:ind w:firstLine="720"/>
        <w:jc w:val="both"/>
        <w:rPr>
          <w:rFonts w:ascii="David" w:hAnsi="David"/>
          <w:color w:val="000000"/>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b/>
          <w:bCs/>
          <w:color w:val="000000"/>
          <w:sz w:val="24"/>
          <w:szCs w:val="24"/>
          <w:rtl/>
        </w:rPr>
        <w:t xml:space="preserve">על פי עובדות האישום הראשון </w:t>
      </w:r>
      <w:r>
        <w:rPr>
          <w:rFonts w:ascii="David" w:eastAsia="Times New Roman" w:hAnsi="David" w:cs="David"/>
          <w:color w:val="000000"/>
          <w:sz w:val="24"/>
          <w:szCs w:val="24"/>
          <w:rtl/>
        </w:rPr>
        <w:t xml:space="preserve">החל בחודש ינואר 2020 ניהלו הנאשם ו-א.א, אמה של הקטינה, קשר זוגי, והנאשם היה מגיע לביתן בתדירות של כפעמיים-שלוש בשבוע ומסייע ל-א.א, אשר חלתה באותה התקופה, בבית ובטיפול בקטינה.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באותה תקופה, מחודש מרץ 2020 ועד לחודש מאי 2020 (להלן: </w:t>
      </w:r>
      <w:r>
        <w:rPr>
          <w:rFonts w:ascii="Miriam" w:eastAsia="Times New Roman" w:hAnsi="Miriam" w:cs="Miriam"/>
          <w:b/>
          <w:bCs/>
          <w:color w:val="000000"/>
          <w:sz w:val="24"/>
          <w:szCs w:val="24"/>
          <w:rtl/>
        </w:rPr>
        <w:t>התקופה הרלוונטית</w:t>
      </w:r>
      <w:r>
        <w:rPr>
          <w:rFonts w:ascii="David" w:eastAsia="Times New Roman" w:hAnsi="David" w:cs="David"/>
          <w:color w:val="000000"/>
          <w:sz w:val="24"/>
          <w:szCs w:val="24"/>
          <w:rtl/>
        </w:rPr>
        <w:t xml:space="preserve">) פגע הנאשם בקטינה בתדירות של כפעם בשבוע בעת שאמה יָשנה, או נעדרה מהבית, או שהייתה תחת השפעת תרופות.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באחת הפעמים בחודש מאי 2020. ישבה הקטינה על מיטתה בשעת צהריים וצפתה בטלוויזיה. הנאשם נכנס לחדרה, סגר את הדלת והתיישב לצידה על המיטה. הוא הכניס את ידו לתוך מכנסיה ותחתוניה של הקטינה באזור גבה, הוריד את מכנסיה עד לירכיה וחפן בידו את ישבנה לכיוון איבר מינה. הקטינה צעקה והזיזה את ידו של הנאשם וזה יצא מחדרה. כעבור מספר דקות שב הנאשם לחדר סגר את הדלת ושוב התיישב בסמוך לקטינה על מיטתה, הכניס את ידו למכנסיה, הפעם מכיוון בטנה של הקטינה, תוך שהוא מוריד את מכנסיה ותחתוניה עד לירכיה ונגע באצבעותיו באיבר מינה. הקטינה הדפה את ידו של הנאשם, הרימה את מכנסיה ותחתוניה, וביקשה מהנאשם שיחדל ממעשיו. הנאשם יצא מהחדר.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בעוד כארבע הזדמנויות שונות בין חודש מרץ 2020 לחודש מאי 2020 (להלן: </w:t>
      </w:r>
      <w:r>
        <w:rPr>
          <w:rFonts w:ascii="Miriam" w:eastAsia="Times New Roman" w:hAnsi="Miriam" w:cs="Miriam"/>
          <w:b/>
          <w:bCs/>
          <w:color w:val="000000"/>
          <w:sz w:val="24"/>
          <w:szCs w:val="24"/>
          <w:rtl/>
        </w:rPr>
        <w:t>התקופה הרלוונטית</w:t>
      </w:r>
      <w:r>
        <w:rPr>
          <w:rFonts w:ascii="David" w:eastAsia="Times New Roman" w:hAnsi="David" w:cs="David"/>
          <w:color w:val="000000"/>
          <w:sz w:val="24"/>
          <w:szCs w:val="24"/>
          <w:rtl/>
        </w:rPr>
        <w:t>), בעת שאמה של הקטינה יָשנה בחדרה בבית, נכנס הנאשם לחדרה של הקטינה, סגר את הדלת, הוריד את מכנסיה ותחתוניה ונגע באצבעותיו באיבר מינה. באחד המקרים ברחה הקטינה מן החדר למרפסת.</w:t>
      </w:r>
    </w:p>
    <w:p w:rsidR="005B163D" w:rsidRDefault="005B163D" w:rsidP="005B163D">
      <w:pPr>
        <w:pStyle w:val="ae"/>
        <w:shd w:val="clear" w:color="auto" w:fill="FFFFFF"/>
        <w:spacing w:after="0" w:line="360" w:lineRule="atLeast"/>
        <w:ind w:left="368" w:firstLine="352"/>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בפעם אחרת בתקופה הרלוונטית ישבה הקטינה במרפסת הבית וקראה בספר. הנאשם הגיע למרפסת והציע לה כי יקריא לה מהספר והיא תשב עליו. הקטינה סירבה וברחה מפניו והוא רדף אחריה בבית. באותה עת הגיעה אמה של הקטינה הביתה, וכדי שלא תחשוד במעשיו, סיפר הנאשם שהם </w:t>
      </w:r>
      <w:r>
        <w:rPr>
          <w:rFonts w:ascii="Miriam" w:eastAsia="Times New Roman" w:hAnsi="Miriam" w:cs="Miriam"/>
          <w:color w:val="000000"/>
          <w:sz w:val="24"/>
          <w:szCs w:val="24"/>
          <w:rtl/>
        </w:rPr>
        <w:t>"משחקים תופסת"</w:t>
      </w:r>
      <w:r>
        <w:rPr>
          <w:rFonts w:ascii="David" w:eastAsia="Times New Roman" w:hAnsi="David" w:cs="David"/>
          <w:color w:val="000000"/>
          <w:sz w:val="24"/>
          <w:szCs w:val="24"/>
          <w:rtl/>
        </w:rPr>
        <w:t xml:space="preserve">. </w:t>
      </w:r>
    </w:p>
    <w:p w:rsidR="005B163D" w:rsidRDefault="005B163D" w:rsidP="005B163D">
      <w:pPr>
        <w:pStyle w:val="ae"/>
        <w:shd w:val="clear" w:color="auto" w:fill="FFFFFF"/>
        <w:spacing w:after="0" w:line="360" w:lineRule="atLeast"/>
        <w:ind w:left="368" w:firstLine="352"/>
        <w:jc w:val="both"/>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בפעם נוספת בתקופה הרלוונטית, נכנס הנאשם בשעת צהריים לחדרה של הקטינה, סגר את הדלת והציע לה לשחק עמו, והשניים שיחקו במשחק קופסה על רצפת החדר. בשלב כלשהוא נעמד הנאשם, הוריד את מכנסיו,  נותר עומד בתחתוניו ואמר לקטינה: "</w:t>
      </w:r>
      <w:r>
        <w:rPr>
          <w:rFonts w:ascii="Miriam" w:eastAsia="Times New Roman" w:hAnsi="Miriam" w:cs="Miriam"/>
          <w:color w:val="000000"/>
          <w:sz w:val="24"/>
          <w:szCs w:val="24"/>
          <w:rtl/>
        </w:rPr>
        <w:t>אם תתני לי לגעת בשלך, אני אתן לך לגעת בשלי"</w:t>
      </w:r>
      <w:r>
        <w:rPr>
          <w:rFonts w:ascii="David" w:eastAsia="Times New Roman" w:hAnsi="David" w:cs="David"/>
          <w:color w:val="000000"/>
          <w:sz w:val="24"/>
          <w:szCs w:val="24"/>
          <w:rtl/>
        </w:rPr>
        <w:t>. הקטינה סירבה, הנאשם לבש את מכנסיו ויצא מהחדר. לאחר זמן מה חזר הנאשם לחדר ושוב פשט את מכנסיו ואמר לקטינה "</w:t>
      </w:r>
      <w:r>
        <w:rPr>
          <w:rFonts w:ascii="Miriam" w:eastAsia="Times New Roman" w:hAnsi="Miriam" w:cs="Miriam"/>
          <w:color w:val="000000"/>
          <w:sz w:val="24"/>
          <w:szCs w:val="24"/>
          <w:rtl/>
        </w:rPr>
        <w:t>את תהיי ראשונה ואחרי זה אני אגע בשלך"</w:t>
      </w:r>
      <w:r>
        <w:rPr>
          <w:rFonts w:ascii="David" w:eastAsia="Times New Roman" w:hAnsi="David" w:cs="David"/>
          <w:color w:val="000000"/>
          <w:sz w:val="24"/>
          <w:szCs w:val="24"/>
          <w:rtl/>
        </w:rPr>
        <w:t xml:space="preserve"> וכן ציין כי </w:t>
      </w:r>
      <w:r>
        <w:rPr>
          <w:rFonts w:ascii="Miriam" w:eastAsia="Times New Roman" w:hAnsi="Miriam" w:cs="Miriam"/>
          <w:color w:val="000000"/>
          <w:sz w:val="24"/>
          <w:szCs w:val="24"/>
          <w:rtl/>
        </w:rPr>
        <w:t xml:space="preserve">"אני אתן לך כמה לחיצות שבא לך אם את מסכימה". </w:t>
      </w:r>
      <w:r>
        <w:rPr>
          <w:rFonts w:ascii="David" w:eastAsia="Times New Roman" w:hAnsi="David" w:cs="David"/>
          <w:color w:val="000000"/>
          <w:sz w:val="24"/>
          <w:szCs w:val="24"/>
          <w:rtl/>
        </w:rPr>
        <w:t>בתגובה צעקה הקטינה על הנאשם, יצאה מהחדר ונעלה עצמה בשירותים עד ששמעה כי הנאשם עזב את הבית.</w:t>
      </w:r>
    </w:p>
    <w:p w:rsidR="005B163D" w:rsidRDefault="005B163D" w:rsidP="005B163D">
      <w:pPr>
        <w:pStyle w:val="ae"/>
        <w:shd w:val="clear" w:color="auto" w:fill="FFFFFF"/>
        <w:spacing w:after="0" w:line="360" w:lineRule="atLeast"/>
        <w:ind w:left="368" w:firstLine="352"/>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בפעם אחרת בתקופה הרלוונטית, עת שיחקה הקטינה במכשיר הטלפון בחדרה, נכנס הנאשם לחדר ונישק אותה על שפתיה.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b/>
          <w:bCs/>
          <w:color w:val="000000"/>
          <w:sz w:val="24"/>
          <w:szCs w:val="24"/>
          <w:rtl/>
        </w:rPr>
        <w:t xml:space="preserve">לפי עובדות האישום השני: </w:t>
      </w:r>
      <w:r>
        <w:rPr>
          <w:rFonts w:ascii="David" w:eastAsia="Times New Roman" w:hAnsi="David" w:cs="David"/>
          <w:color w:val="000000"/>
          <w:sz w:val="24"/>
          <w:szCs w:val="24"/>
          <w:rtl/>
        </w:rPr>
        <w:t xml:space="preserve">בין משפחת הנאשם למשפחתה של ב.ב שררו יחסי חברות וקירבה והם נהגו לצאת יחד לטיולים. בדצמבר 2013 נהרג אביה של ב.ב באופן פתאומי. הנאשם ומשפחתו סייעו לאמה של ב.ב וארחו בביתם את ב.ב ואת אחיה הקטן. הנאשם ניצל את יחסי האמון והקרבה בין המשפחות ופגע ב-ב.ב בעת ששהה עמה ביחידות. </w:t>
      </w: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בשנת 2014, במועד שאינו ידוע למאשימה, ישבה ב.ב בחדר העבודה בביתו של הנאשם ופתרה תשחץ. הנאשם נכנס לחדר, הציע לה את עזרתו וביקש ממנה להתקרב אליו. ב.ב נעמדה מולו והנאשם ליטף בכוח את ישבה ואת איבר מינה מעל הבגדים. ב.ב הדפה את ידו אך הנאשם שב על מעשיו ונגע בכוח בישבנה ובאיבר מינה מספר פעמים, חרף בקשותיה כי יחדל ממעשיו.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במקרה אחר שאף הוא ארע בשנת 2014, בילו משפחת הנאשם ומשפחתה של ב.ב בבית מלון בעיר אילת. הנאשם, בתו הקטינה, ב.ב ואחיה הקטן רחצו בבריכת המלון. הנאשם התיישב על מדרגות הבריכה והושיב את ב.ב על ירכיו באומרו כי היא יכולה לעשות מה שבתו הקטינה אינה יכולה לעשות כי לה (ל-ב.ב) </w:t>
      </w:r>
      <w:r>
        <w:rPr>
          <w:rFonts w:ascii="Miriam" w:eastAsia="Times New Roman" w:hAnsi="Miriam" w:cs="Miriam"/>
          <w:color w:val="000000"/>
          <w:sz w:val="24"/>
          <w:szCs w:val="24"/>
          <w:rtl/>
        </w:rPr>
        <w:t xml:space="preserve">"יש ציצי" </w:t>
      </w:r>
      <w:r>
        <w:rPr>
          <w:rFonts w:ascii="David" w:eastAsia="Times New Roman" w:hAnsi="David" w:cs="David"/>
          <w:color w:val="000000"/>
          <w:sz w:val="24"/>
          <w:szCs w:val="24"/>
          <w:rtl/>
        </w:rPr>
        <w:t xml:space="preserve">ונגע בחזהּ מעל בגד הים שלבשה. </w:t>
      </w:r>
    </w:p>
    <w:p w:rsidR="005B163D" w:rsidRDefault="005B163D" w:rsidP="005B163D">
      <w:pPr>
        <w:shd w:val="clear" w:color="auto" w:fill="FFFFFF"/>
        <w:spacing w:line="360" w:lineRule="atLeast"/>
        <w:jc w:val="both"/>
        <w:rPr>
          <w:rFonts w:ascii="David" w:hAnsi="David"/>
          <w:color w:val="000000"/>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בטיול אחר אליו יצאו משפחת הנאשם ומשפחתה של ב.ב, בשנת 2014, בעוד ב.ב צועדת על השביל היוצא מלובי המלון בו התארחו, התקרב אליה הנאשם ונִשק אותה על פיה. </w:t>
      </w:r>
    </w:p>
    <w:p w:rsidR="005B163D" w:rsidRDefault="005B163D" w:rsidP="005B163D">
      <w:pPr>
        <w:shd w:val="clear" w:color="auto" w:fill="FFFFFF"/>
        <w:spacing w:line="360" w:lineRule="atLeast"/>
        <w:jc w:val="both"/>
        <w:rPr>
          <w:rFonts w:ascii="David" w:hAnsi="David"/>
          <w:color w:val="000000"/>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בפעם אחרת בשנת 2014, בעת שהתארחה ב.ב בבית הנאשם, הציע לה הנאשם לנוח בחדר של בנו. ב.ב עשתה כעצת הנאשם ובעודה שוכבת על בטנה נכנס הנאשם לחדר ונשכב על גבה של ב.ב כשהוא לבוש. הנאשם התחכך בגופה של ב.ב ובעיקר בישבנה. בשלב מסוים עצר ועזב את החדר.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במקרה נוסף בשנת 2014 שכבה ב.ב לנוח בחדר השינה של אמה. הנאשם נכנס לחדר, הרים את ב.ב מהמיטה, חיבק אותה ויצא מן החדר.  </w:t>
      </w:r>
    </w:p>
    <w:p w:rsidR="005B163D" w:rsidRDefault="005B163D" w:rsidP="005B163D">
      <w:pPr>
        <w:pStyle w:val="ae"/>
        <w:rPr>
          <w:rFonts w:ascii="David" w:eastAsia="Times New Roman" w:hAnsi="David" w:cs="David"/>
          <w:color w:val="000000"/>
          <w:sz w:val="24"/>
          <w:szCs w:val="24"/>
          <w:rtl/>
        </w:rPr>
      </w:pPr>
    </w:p>
    <w:p w:rsidR="005B163D" w:rsidRDefault="005B163D" w:rsidP="005B163D">
      <w:pPr>
        <w:shd w:val="clear" w:color="auto" w:fill="FFFFFF"/>
        <w:spacing w:line="360" w:lineRule="atLeast"/>
        <w:ind w:firstLine="84"/>
        <w:jc w:val="both"/>
        <w:rPr>
          <w:rFonts w:ascii="David" w:eastAsiaTheme="minorHAnsi" w:hAnsi="David"/>
          <w:b/>
          <w:bCs/>
          <w:u w:val="single"/>
        </w:rPr>
      </w:pPr>
      <w:r>
        <w:rPr>
          <w:rFonts w:ascii="David" w:hAnsi="David"/>
          <w:b/>
          <w:bCs/>
          <w:u w:val="single"/>
          <w:rtl/>
        </w:rPr>
        <w:t>יריעת המחלוקת</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הנאשם כפר בשני האישומים שיוחסו לו.</w:t>
      </w: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b/>
          <w:bCs/>
          <w:color w:val="000000"/>
          <w:sz w:val="24"/>
          <w:szCs w:val="24"/>
        </w:rPr>
      </w:pPr>
      <w:r>
        <w:rPr>
          <w:rFonts w:ascii="David" w:eastAsia="Times New Roman" w:hAnsi="David" w:cs="David"/>
          <w:b/>
          <w:bCs/>
          <w:color w:val="000000"/>
          <w:sz w:val="24"/>
          <w:szCs w:val="24"/>
          <w:rtl/>
        </w:rPr>
        <w:t>במענה לאישום הראשון</w:t>
      </w:r>
      <w:r>
        <w:rPr>
          <w:rFonts w:ascii="David" w:eastAsia="Times New Roman" w:hAnsi="David" w:cs="David"/>
          <w:color w:val="000000"/>
          <w:sz w:val="24"/>
          <w:szCs w:val="24"/>
          <w:rtl/>
        </w:rPr>
        <w:t xml:space="preserve"> טען הנאשם כי לפני למעלה מ-15 שנים היה קשר זוגי בינו ובין אִמה של הקטינה. הקשר חודש בתחילת שנת 2020 ונמשך עד ספטמבר 2020, אך מדובר לדבריו בקשר שהוא </w:t>
      </w:r>
      <w:r>
        <w:rPr>
          <w:rFonts w:ascii="Miriam" w:eastAsia="Times New Roman" w:hAnsi="Miriam" w:cs="Miriam"/>
          <w:color w:val="000000"/>
          <w:sz w:val="24"/>
          <w:szCs w:val="24"/>
          <w:rtl/>
        </w:rPr>
        <w:t>"רובו ככולו קשר מיני"</w:t>
      </w:r>
      <w:r>
        <w:rPr>
          <w:rFonts w:ascii="David" w:eastAsia="Times New Roman" w:hAnsi="David" w:cs="David"/>
          <w:color w:val="000000"/>
          <w:sz w:val="24"/>
          <w:szCs w:val="24"/>
          <w:rtl/>
        </w:rPr>
        <w:t xml:space="preserve"> (עמ' 21). הנאשם גרס שביקר בביתה של א.א </w:t>
      </w:r>
      <w:r>
        <w:rPr>
          <w:rFonts w:ascii="Miriam" w:eastAsia="Times New Roman" w:hAnsi="Miriam" w:cs="Miriam"/>
          <w:color w:val="000000"/>
          <w:sz w:val="24"/>
          <w:szCs w:val="24"/>
          <w:rtl/>
        </w:rPr>
        <w:t xml:space="preserve">"פעם בשבוע אולי קצת יותר פלוס מינוס", </w:t>
      </w:r>
      <w:r>
        <w:rPr>
          <w:rFonts w:ascii="David" w:eastAsia="Times New Roman" w:hAnsi="David" w:cs="David"/>
          <w:color w:val="000000"/>
          <w:sz w:val="24"/>
          <w:szCs w:val="24"/>
          <w:rtl/>
        </w:rPr>
        <w:t xml:space="preserve">ועל כן אין מדובר לדעתו בקרבת משפחה. </w:t>
      </w:r>
    </w:p>
    <w:p w:rsidR="005B163D" w:rsidRDefault="005B163D" w:rsidP="005B163D">
      <w:pPr>
        <w:pStyle w:val="ae"/>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b/>
          <w:bCs/>
          <w:color w:val="000000"/>
          <w:sz w:val="24"/>
          <w:szCs w:val="24"/>
        </w:rPr>
      </w:pPr>
      <w:r>
        <w:rPr>
          <w:rFonts w:ascii="David" w:eastAsia="Times New Roman" w:hAnsi="David" w:cs="David"/>
          <w:color w:val="000000"/>
          <w:sz w:val="24"/>
          <w:szCs w:val="24"/>
          <w:rtl/>
        </w:rPr>
        <w:t xml:space="preserve">הנאשם כפר בטענה כי ביצע מעשים מגונים כלשהם בקטינה.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b/>
          <w:bCs/>
          <w:color w:val="000000"/>
          <w:sz w:val="24"/>
          <w:szCs w:val="24"/>
        </w:rPr>
      </w:pPr>
      <w:r>
        <w:rPr>
          <w:rFonts w:ascii="David" w:eastAsia="Times New Roman" w:hAnsi="David" w:cs="David"/>
          <w:b/>
          <w:bCs/>
          <w:color w:val="000000"/>
          <w:sz w:val="24"/>
          <w:szCs w:val="24"/>
          <w:rtl/>
        </w:rPr>
        <w:t xml:space="preserve">במענה לאישום השני </w:t>
      </w:r>
      <w:r>
        <w:rPr>
          <w:rFonts w:ascii="David" w:eastAsia="Times New Roman" w:hAnsi="David" w:cs="David"/>
          <w:color w:val="000000"/>
          <w:sz w:val="24"/>
          <w:szCs w:val="24"/>
          <w:rtl/>
        </w:rPr>
        <w:t>אישר הנאשם כי שררו יחסי חברות וקרבה בין המשפחות ועדייו ישנו קשר טוב. הנאשם כפר בכל הטענות לביצוע מעשים מגונים כלפי ב.ב.</w:t>
      </w:r>
    </w:p>
    <w:p w:rsidR="005B163D" w:rsidRDefault="005B163D" w:rsidP="005B163D">
      <w:pPr>
        <w:shd w:val="clear" w:color="auto" w:fill="FFFFFF"/>
        <w:spacing w:before="240" w:line="360" w:lineRule="atLeast"/>
        <w:ind w:firstLine="84"/>
        <w:jc w:val="both"/>
        <w:rPr>
          <w:rFonts w:ascii="David" w:hAnsi="David"/>
          <w:b/>
          <w:bCs/>
          <w:color w:val="000000"/>
          <w:rtl/>
        </w:rPr>
      </w:pPr>
      <w:r>
        <w:rPr>
          <w:rFonts w:ascii="David" w:hAnsi="David"/>
          <w:b/>
          <w:bCs/>
          <w:color w:val="000000"/>
          <w:u w:val="single"/>
          <w:rtl/>
        </w:rPr>
        <w:t>פרשת הראיות</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ביחס לאישום הראשון העידה המאשימה את העדים הבאים: מ' – אמה של הקטינה, אביה של הקטינה, חוקרת הילדים הגב' לירון למלר, סבתה של קטינה (להלן: </w:t>
      </w:r>
      <w:r>
        <w:rPr>
          <w:rFonts w:ascii="Miriam" w:eastAsia="Times New Roman" w:hAnsi="Miriam" w:cs="Miriam"/>
          <w:b/>
          <w:bCs/>
          <w:color w:val="000000"/>
          <w:sz w:val="24"/>
          <w:szCs w:val="24"/>
          <w:rtl/>
        </w:rPr>
        <w:t>הסבתא</w:t>
      </w:r>
      <w:r>
        <w:rPr>
          <w:rFonts w:ascii="David" w:eastAsia="Times New Roman" w:hAnsi="David" w:cs="David"/>
          <w:color w:val="000000"/>
          <w:sz w:val="24"/>
          <w:szCs w:val="24"/>
          <w:rtl/>
        </w:rPr>
        <w:t xml:space="preserve">), גב' שחר פלג – עובדת המרכז לטיפול בילדים ונוער שעברו פגיעות מיניות וכן את גב' </w:t>
      </w:r>
      <w:r>
        <w:rPr>
          <w:rFonts w:ascii="David" w:eastAsia="Times New Roman" w:hAnsi="David" w:cs="David" w:hint="cs"/>
          <w:color w:val="000000"/>
          <w:sz w:val="24"/>
          <w:szCs w:val="24"/>
          <w:rtl/>
        </w:rPr>
        <w:t>[</w:t>
      </w:r>
      <w:r w:rsidRPr="005B163D">
        <w:rPr>
          <w:rFonts w:ascii="David" w:eastAsia="Times New Roman" w:hAnsi="David" w:cs="David" w:hint="cs"/>
          <w:b/>
          <w:bCs/>
          <w:color w:val="000000"/>
          <w:sz w:val="24"/>
          <w:szCs w:val="24"/>
          <w:rtl/>
        </w:rPr>
        <w:t>הושמט</w:t>
      </w:r>
      <w:r>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יועצת בבית הספר של הקטינה.</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בעניין האישום השני העידה המאשימה את העדים הבאים: ב.ב נפגעת העבירה, אמה של ב.ב, חברת ילדות של ב.ב ובן זוגה. בנוסף, העידו עו"ס ענבל נחמיה והמדריכה עדן רומח אשר עבדו במועדון הנערות שהופעל ע"י המחלקה לשירותים חברתיים בעיר מגוריה של ב.ב (להלן: </w:t>
      </w:r>
      <w:r>
        <w:rPr>
          <w:rFonts w:ascii="Miriam" w:eastAsia="Times New Roman" w:hAnsi="Miriam" w:cs="Miriam"/>
          <w:b/>
          <w:bCs/>
          <w:color w:val="000000"/>
          <w:sz w:val="24"/>
          <w:szCs w:val="24"/>
          <w:rtl/>
        </w:rPr>
        <w:t>בית חם</w:t>
      </w:r>
      <w:r>
        <w:rPr>
          <w:rFonts w:ascii="David" w:eastAsia="Times New Roman" w:hAnsi="David" w:cs="David"/>
          <w:color w:val="000000"/>
          <w:sz w:val="24"/>
          <w:szCs w:val="24"/>
          <w:rtl/>
        </w:rPr>
        <w:t xml:space="preserve">), כאשר ב.ב לקחה חלק בפעילות שם. העידה גם גב' אתי זלק, עו"ס במחלקת הרווחה בעיר מגוריה של ב.ב.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ק', בת אחיו של הנאשם שצעירה ממנו ב-15 שנים, העידה לפנינו כי בעת שהייתה כבת 12-11 ביצע בה הנאשם מעשים מיניים. המעשים ש-ק' טענה כי הנאשם ביצע בה – התיישנו. עדותה הובאה לצורך הוכחת מעשים דומים.</w:t>
      </w:r>
    </w:p>
    <w:p w:rsidR="005B163D" w:rsidRDefault="005B163D" w:rsidP="005B163D">
      <w:pPr>
        <w:pStyle w:val="ae"/>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מטעם ההגנה העידו הנאשם ואשתו. כן העיד אבי הנאשם.</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8"/>
          <w:szCs w:val="28"/>
          <w:u w:val="single"/>
        </w:rPr>
      </w:pP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8"/>
          <w:szCs w:val="28"/>
          <w:u w:val="single"/>
          <w:rtl/>
        </w:rPr>
      </w:pPr>
      <w:r>
        <w:rPr>
          <w:rFonts w:ascii="David" w:eastAsia="Times New Roman" w:hAnsi="David" w:cs="David"/>
          <w:b/>
          <w:bCs/>
          <w:color w:val="000000"/>
          <w:sz w:val="28"/>
          <w:szCs w:val="28"/>
          <w:u w:val="single"/>
          <w:rtl/>
        </w:rPr>
        <w:t>דיון</w:t>
      </w: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6"/>
          <w:szCs w:val="26"/>
          <w:u w:val="single"/>
          <w:rtl/>
        </w:rPr>
      </w:pPr>
      <w:r>
        <w:rPr>
          <w:rFonts w:ascii="David" w:eastAsia="Times New Roman" w:hAnsi="David" w:cs="David"/>
          <w:b/>
          <w:bCs/>
          <w:color w:val="000000"/>
          <w:sz w:val="26"/>
          <w:szCs w:val="26"/>
          <w:u w:val="single"/>
          <w:rtl/>
        </w:rPr>
        <w:t>האישום השני – מעשים שבוצעו ב-ב.ב בשנת 2014</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מצאתי לפתוח את הדיון בנטען כלפי הנאשם באישום השני, המבוסס על עדותה הישירה של ב.ב., ועל שורה של ראיות מחזקות.</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ב.ב העידה לפנינו עדות מפורטת, קוהרנטית, עשירה בפרטי זמן ומקום ובהסברים המתיישבים עם השכל הישר. לכל אורך הדרך דבקה ב.ב בגרסתה ולא סרה ימין או שמאל ממנה ומהדברים שהטיחה בעימות שנערך בינה ובין הנאשם במשטרה.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דבריה של ב.ב בעדות תואמים אמירות שאמרה למספר גורמים שונים לפני שחשפה את הפגיעה בפני אמה ולפני שהגישה תלונה במשטרה אודות מעשי הנאשם. ב.ב לא שינתה מגרסתה גם כאשר נחקרה בחקירה נגדית שלא הייתה קלה כלל ועיקר.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סימני אמת מובהקים ניכרו בעדותה של ב.ב: היא הקפידה לענות במדויק על השאלות שנשאלה ולתאר את הנסיבות מבלי להגזים, להשחיר את פני הנאשם, להוסיף או לגרוע, ולא גלשה לאמירות אישיות נגד הנאשם או מי מבני משפחתו גם כשהוטחו בפניה דברים קשים (העימות מול הנאשם ת/2, ת/2א).</w:t>
      </w:r>
    </w:p>
    <w:p w:rsidR="005B163D" w:rsidRDefault="005B163D" w:rsidP="005B163D">
      <w:pPr>
        <w:shd w:val="clear" w:color="auto" w:fill="FFFFFF"/>
        <w:spacing w:line="360" w:lineRule="atLeast"/>
        <w:jc w:val="both"/>
        <w:rPr>
          <w:rFonts w:ascii="David" w:hAnsi="David"/>
          <w:b/>
          <w:bCs/>
          <w:color w:val="000000"/>
          <w:u w:val="single"/>
        </w:rPr>
      </w:pPr>
    </w:p>
    <w:p w:rsidR="005B163D" w:rsidRDefault="005B163D" w:rsidP="005B163D">
      <w:pPr>
        <w:shd w:val="clear" w:color="auto" w:fill="FFFFFF"/>
        <w:spacing w:line="360" w:lineRule="atLeast"/>
        <w:ind w:firstLine="84"/>
        <w:jc w:val="both"/>
        <w:rPr>
          <w:rFonts w:ascii="David" w:hAnsi="David"/>
          <w:color w:val="000000"/>
          <w:rtl/>
        </w:rPr>
      </w:pPr>
      <w:r>
        <w:rPr>
          <w:rFonts w:ascii="David" w:hAnsi="David"/>
          <w:color w:val="000000"/>
          <w:u w:val="single"/>
          <w:rtl/>
        </w:rPr>
        <w:t xml:space="preserve">הקשר בין המשפחות </w:t>
      </w:r>
    </w:p>
    <w:p w:rsidR="005B163D" w:rsidRDefault="005B163D" w:rsidP="005B163D">
      <w:pPr>
        <w:pStyle w:val="ae"/>
        <w:numPr>
          <w:ilvl w:val="0"/>
          <w:numId w:val="3"/>
        </w:numPr>
        <w:shd w:val="clear" w:color="auto" w:fill="FFFFFF"/>
        <w:spacing w:after="0" w:line="360" w:lineRule="atLeast"/>
        <w:ind w:left="84" w:firstLine="51"/>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ב.ב תארה את הקשר בין משפחת הנאשם למשפחתה, יחסי חברות ושכנות עמוקים. אביה המנוח היה חבר קרוב של הנאשם ואמה חברה קרובה של רעיית הנאשם. בין ילדי המשפחות שררו קשרי חברות קרובים, במיוחד בין אחיה הקטן של ב.ב. לבתו של הנאשם, ולאורך השנים נהגו שתי המשפחות לצאת לחופשות בבתי מלון (עמ' 26-25). </w:t>
      </w:r>
    </w:p>
    <w:p w:rsidR="005B163D" w:rsidRDefault="005B163D" w:rsidP="005B163D">
      <w:pPr>
        <w:pStyle w:val="ae"/>
        <w:shd w:val="clear" w:color="auto" w:fill="FFFFFF"/>
        <w:spacing w:after="0" w:line="360" w:lineRule="atLeast"/>
        <w:ind w:left="135"/>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135" w:firstLine="585"/>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בדצמבר שנת 2013 נהרג אביה של ב.ב בתאונה טראגית. ב.ב ואחיה התייתמו באחת מאב אהוב, דמות מרכזית בחיי היום יום במשפחה. לאחר האסון, נרתמה המשפחה המורחבת של האם </w:t>
      </w:r>
      <w:r>
        <w:rPr>
          <w:rFonts w:ascii="David" w:eastAsia="Times New Roman" w:hAnsi="David" w:cs="David"/>
          <w:color w:val="000000"/>
          <w:sz w:val="24"/>
          <w:szCs w:val="24"/>
          <w:rtl/>
        </w:rPr>
        <w:lastRenderedPageBreak/>
        <w:t>לסייע לה, בין היתר בטיפול בילדים (עמ' 38-37). אלא שבחלוף שנה אחת בלבד מהתאונה בה נהרג אביה, נפטרה סבתה של ב.ב. (אם אמה). אחיותיה של האם התרכזו באבלן וכבר לא הגיעו בכל יום לסייע. או אז נחלצו הנאשם ואשתו לעזרה ומאותו שלב היו הגורם המרכזי שסייע לאם (עמ' 38). החגים, החופשות וחיי היום יום של שתי המשפחות נשזרו אלו באלו.</w:t>
      </w:r>
    </w:p>
    <w:p w:rsidR="005B163D" w:rsidRDefault="005B163D" w:rsidP="005B163D">
      <w:pPr>
        <w:pStyle w:val="ae"/>
        <w:shd w:val="clear" w:color="auto" w:fill="FFFFFF"/>
        <w:spacing w:after="0" w:line="360" w:lineRule="atLeast"/>
        <w:ind w:left="135" w:firstLine="585"/>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135" w:firstLine="585"/>
        <w:jc w:val="both"/>
        <w:rPr>
          <w:rFonts w:ascii="David" w:eastAsia="Times New Roman" w:hAnsi="David" w:cs="David"/>
          <w:color w:val="000000"/>
          <w:sz w:val="24"/>
          <w:szCs w:val="24"/>
          <w:rtl/>
        </w:rPr>
      </w:pPr>
      <w:r>
        <w:rPr>
          <w:rFonts w:ascii="David" w:eastAsia="Times New Roman" w:hAnsi="David" w:cs="David"/>
          <w:color w:val="000000"/>
          <w:sz w:val="24"/>
          <w:szCs w:val="24"/>
          <w:rtl/>
        </w:rPr>
        <w:t>עוד סיפרה ב.ב כי לאחר מות האב סירב אחיה הקטן לצאת מהבית ללא ליווי בן משפחה, וכך כאשר אחיה הצעיר של ב.ב שיחק עם בִּתו של הנאשם בבית הנאשם, שהתה ב.ב בבית הנאשם כדי להרגיע את הילד (עמ' 26 ש' 4-2).</w:t>
      </w:r>
    </w:p>
    <w:p w:rsidR="005B163D" w:rsidRDefault="005B163D" w:rsidP="005B163D">
      <w:pPr>
        <w:pStyle w:val="ae"/>
        <w:shd w:val="clear" w:color="auto" w:fill="FFFFFF"/>
        <w:spacing w:after="0" w:line="360" w:lineRule="atLeast"/>
        <w:ind w:left="135" w:firstLine="585"/>
        <w:jc w:val="both"/>
        <w:rPr>
          <w:rFonts w:ascii="David" w:eastAsia="Times New Roman" w:hAnsi="David" w:cs="David"/>
          <w:color w:val="000000"/>
          <w:sz w:val="24"/>
          <w:szCs w:val="24"/>
          <w:rtl/>
        </w:rPr>
      </w:pPr>
    </w:p>
    <w:p w:rsidR="005B163D" w:rsidRDefault="005B163D" w:rsidP="005B163D">
      <w:pPr>
        <w:shd w:val="clear" w:color="auto" w:fill="FFFFFF"/>
        <w:spacing w:line="360" w:lineRule="atLeast"/>
        <w:ind w:firstLine="84"/>
        <w:jc w:val="both"/>
        <w:rPr>
          <w:rFonts w:ascii="David" w:hAnsi="David"/>
          <w:color w:val="000000"/>
          <w:rtl/>
        </w:rPr>
      </w:pPr>
      <w:r>
        <w:rPr>
          <w:rFonts w:ascii="David" w:hAnsi="David"/>
          <w:color w:val="000000"/>
          <w:u w:val="single"/>
          <w:rtl/>
        </w:rPr>
        <w:t>עדותה של ב.ב אודות מעשי הנאשם</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על עצמה סיפרה ב.ב כי חוותה התפתחות מינית מוקדמת על כל הכרוך בכך והיא נהגה ללבוש בגדים גדולים ורחבים (עמ' 27). גופה של ב.ב התפתח כבר בכיתה ד'.</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ב.ב תיארה בפירוט את מכלול האירועים המפורטים בכתב האישום, חמישה במספר, שלושה מהם אירעו בחופשות משותפות, באילת ובחופשה נוספת. עיקר הפגיעות התרחשו בעת שאחיה הצעיר ובִּתו של הנאשם שיחקו באחד מחדרי הבית או בחצר אך לא התרחשו בקרבת הילדים הצעירים (עמ' 26 ש' 31-29; עמ' 35 ש' 31-22).</w:t>
      </w:r>
    </w:p>
    <w:p w:rsidR="005B163D" w:rsidRDefault="005B163D" w:rsidP="005B163D">
      <w:pPr>
        <w:pStyle w:val="ae"/>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הפגיעה הראשונה, המפורטת בסעיף 3 לאישום השני, התרחשה בחדר העבודה של הנאשם (עמ' 34 ש' 26-24). ב.ב ביקשה את עזרת הנאשם בפתרון </w:t>
      </w:r>
      <w:r>
        <w:rPr>
          <w:rFonts w:ascii="David" w:eastAsia="Times New Roman" w:hAnsi="David" w:cs="David"/>
          <w:b/>
          <w:bCs/>
          <w:color w:val="000000"/>
          <w:sz w:val="24"/>
          <w:szCs w:val="24"/>
          <w:rtl/>
        </w:rPr>
        <w:t>תשחץ</w:t>
      </w:r>
      <w:r>
        <w:rPr>
          <w:rFonts w:ascii="David" w:eastAsia="Times New Roman" w:hAnsi="David" w:cs="David"/>
          <w:color w:val="000000"/>
          <w:sz w:val="24"/>
          <w:szCs w:val="24"/>
          <w:rtl/>
        </w:rPr>
        <w:t xml:space="preserve"> והוא ביקש שתקרב אליו, וכשעמדה מולו ובעוד הוא יושב ליטף הנאשם את ישבנה ואת איבר מינה מעל הבגדים מספר פעמים (עמ' 27 ש' 4-1; עמ' 28 ש' 26-18; עמ' 58 ש' 17-1).</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ב.ב תארה את חדר העבודה ואת מיקומו בבית. במהלך עדותה כשלא זכרה פרטים במדויק, ציינה כי אינה זוכרת (עמ' 27 שורת 24-13 ועמ' 28 ש' 23-18).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eastAsia="Times New Roman" w:hAnsi="David" w:cs="David"/>
          <w:color w:val="000000"/>
          <w:sz w:val="24"/>
          <w:szCs w:val="24"/>
          <w:rtl/>
        </w:rPr>
        <w:t>ב.ב  תיארה את המפורט בסעיף 6 לאישום השני: באחד הימים כששהתה בבית הנאשם סיפרה לנאשם שהיא עייפה. הנאשם הציע לה לנוח</w:t>
      </w:r>
      <w:r>
        <w:rPr>
          <w:rFonts w:ascii="David" w:hAnsi="David" w:cs="David"/>
          <w:sz w:val="24"/>
          <w:szCs w:val="24"/>
          <w:rtl/>
        </w:rPr>
        <w:t xml:space="preserve"> בחדר של בנו, שהיה חדר ממ"ד. ב.ב תיארה כי בעודה שוכבת על בטנה נכנס הנאשם לחדר ונשכב מעליה, ולא עניין אותו אם היא ערה או ישנה. </w:t>
      </w:r>
      <w:r>
        <w:rPr>
          <w:rFonts w:ascii="David" w:hAnsi="David" w:cs="David"/>
          <w:b/>
          <w:bCs/>
          <w:sz w:val="24"/>
          <w:szCs w:val="24"/>
          <w:rtl/>
        </w:rPr>
        <w:t>הנאשם ביצע תנועות בעילה על החלק התחתון של גופה</w:t>
      </w:r>
      <w:r>
        <w:rPr>
          <w:rFonts w:ascii="David" w:hAnsi="David" w:cs="David"/>
          <w:sz w:val="24"/>
          <w:szCs w:val="24"/>
          <w:rtl/>
        </w:rPr>
        <w:t xml:space="preserve"> (עמ' 27 ש' 15-9). היא קפאה כשעיניה עצומות, עד שבשלב מסוים זה נפסק. לאחר מכן היא נרדמה וכאשר הקיצה בנו הגדול של הנאשם היה בסלון הבית. </w:t>
      </w:r>
      <w:r>
        <w:rPr>
          <w:rFonts w:ascii="David" w:hAnsi="David" w:cs="David"/>
          <w:b/>
          <w:bCs/>
          <w:sz w:val="24"/>
          <w:szCs w:val="24"/>
          <w:rtl/>
        </w:rPr>
        <w:t>העדה הבהירה כי מעשים אלו נעשו כשהיא לבושה</w:t>
      </w:r>
      <w:r>
        <w:rPr>
          <w:rFonts w:ascii="David" w:hAnsi="David" w:cs="David"/>
          <w:sz w:val="24"/>
          <w:szCs w:val="24"/>
          <w:rtl/>
        </w:rPr>
        <w:t xml:space="preserve"> (עמ' 27 ש' 32-31).</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lastRenderedPageBreak/>
        <w:t xml:space="preserve">יצוין כי גרסה זו הטיחה ב.ב בפני הנאשם בעימות שנערך בתחנת המשטרה: </w:t>
      </w:r>
      <w:r>
        <w:rPr>
          <w:rFonts w:ascii="Miriam" w:hAnsi="Miriam" w:cs="Miriam"/>
          <w:sz w:val="24"/>
          <w:szCs w:val="24"/>
          <w:rtl/>
        </w:rPr>
        <w:t>"אמרת לי לישון ועשית לי תנועות על הגוף... כשהייתי אצלך"</w:t>
      </w:r>
      <w:r>
        <w:rPr>
          <w:rFonts w:ascii="David" w:hAnsi="David" w:cs="David"/>
          <w:sz w:val="24"/>
          <w:szCs w:val="24"/>
          <w:rtl/>
        </w:rPr>
        <w:t xml:space="preserve"> (ת/2 עמ' 2 ש' 13-12).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ההגנה הקשתה והציבה בפני ב.ב את הטענה כי לא ראתה שהנאשם הוא זה שנכנס לחדר וביצע את הפגיעה. ב.ב לא שינתה מגרסתה כי בעת מעשה שכבה </w:t>
      </w:r>
      <w:r>
        <w:rPr>
          <w:rFonts w:ascii="David" w:hAnsi="David" w:cs="David"/>
          <w:b/>
          <w:bCs/>
          <w:sz w:val="24"/>
          <w:szCs w:val="24"/>
          <w:rtl/>
        </w:rPr>
        <w:t>ערה</w:t>
      </w:r>
      <w:r>
        <w:rPr>
          <w:rFonts w:ascii="David" w:hAnsi="David" w:cs="David"/>
          <w:sz w:val="24"/>
          <w:szCs w:val="24"/>
          <w:rtl/>
        </w:rPr>
        <w:t xml:space="preserve"> בעיניים עצומות (עמ' 56 ש' 24 ו-30), אך עמדה על כך שלא היה מבוגר נוסף בבית.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ב.ב העידה על פגיעות במהלך החופשות השונות אליהן יצאו המשפחות יחדיו: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u w:val="single"/>
          <w:rtl/>
        </w:rPr>
        <w:t>בחופשה באילת</w:t>
      </w:r>
      <w:r>
        <w:rPr>
          <w:rFonts w:ascii="David" w:eastAsia="Times New Roman" w:hAnsi="David" w:cs="David"/>
          <w:color w:val="000000"/>
          <w:sz w:val="24"/>
          <w:szCs w:val="24"/>
          <w:rtl/>
        </w:rPr>
        <w:t xml:space="preserve"> (סעיף 4 לאישום השני) ישב הנאשם על שפת הבריכה והושיב את ב.ב על ברכיו וציין כי לה </w:t>
      </w:r>
      <w:r>
        <w:rPr>
          <w:rFonts w:ascii="Miriam" w:eastAsia="Times New Roman" w:hAnsi="Miriam" w:cs="Miriam"/>
          <w:color w:val="000000"/>
          <w:sz w:val="24"/>
          <w:szCs w:val="24"/>
          <w:rtl/>
        </w:rPr>
        <w:t xml:space="preserve">"יש ציצי" </w:t>
      </w:r>
      <w:r>
        <w:rPr>
          <w:rFonts w:ascii="David" w:eastAsia="Times New Roman" w:hAnsi="David" w:cs="David"/>
          <w:color w:val="000000"/>
          <w:sz w:val="24"/>
          <w:szCs w:val="24"/>
          <w:rtl/>
        </w:rPr>
        <w:t xml:space="preserve">ונגע בחזה מעל בגד הים שלבשה, ובהמשך גם נגע באיבר מינה. ב.ב תארה פרטים שוליים כמו </w:t>
      </w:r>
      <w:r>
        <w:rPr>
          <w:rFonts w:ascii="David" w:hAnsi="David" w:cs="David"/>
          <w:sz w:val="24"/>
          <w:szCs w:val="24"/>
          <w:rtl/>
        </w:rPr>
        <w:t xml:space="preserve">סוג בגד הים שלבשה והדברים שאמר לה הנאשם (עמ' 32).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u w:val="single"/>
          <w:rtl/>
        </w:rPr>
        <w:t>בחופשה אחרת</w:t>
      </w:r>
      <w:r>
        <w:rPr>
          <w:rFonts w:ascii="David" w:eastAsia="Times New Roman" w:hAnsi="David" w:cs="David"/>
          <w:color w:val="000000"/>
          <w:sz w:val="24"/>
          <w:szCs w:val="24"/>
          <w:rtl/>
        </w:rPr>
        <w:t xml:space="preserve"> (סעיף 5 לאישום השני) התקרב אליה הנאשם ונשק על פיה. ב.ב העידה כי שכחה את המזוודה ולכן יצאה מהחדר לכיוון הלובי. היא תיארה את מיקומם של הילדים הצעירים, את תחושת אי הנעימות והסטת המבט ואת הנשיקה היבשה שנשק הנאשם </w:t>
      </w:r>
      <w:r>
        <w:rPr>
          <w:rFonts w:ascii="David" w:eastAsia="Times New Roman" w:hAnsi="David" w:cs="David"/>
          <w:b/>
          <w:bCs/>
          <w:color w:val="000000"/>
          <w:sz w:val="24"/>
          <w:szCs w:val="24"/>
          <w:rtl/>
        </w:rPr>
        <w:t>על פיה</w:t>
      </w:r>
      <w:r>
        <w:rPr>
          <w:rFonts w:ascii="David" w:eastAsia="Times New Roman" w:hAnsi="David" w:cs="David"/>
          <w:color w:val="000000"/>
          <w:sz w:val="24"/>
          <w:szCs w:val="24"/>
          <w:rtl/>
        </w:rPr>
        <w:t xml:space="preserve"> (עמ' 29 ש' 26 עד עמ' 30 ש' 7).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במסגרת החקירה הנגדית כאשר שאל ב"כ הנאשם את ב.ב כיצד ייתכן שהנאשם פגע בה במקום כה ציבורי כמו בריכת המלון, השיבה שמדובר בנגיעות חטופות, ולא חזרה בה מגרסתה (עמ' 59-62). ב.ב גם עמדה על כך שהנשיקה שנשק לה הנאשם היא נשיקה מינית ולא נשיקת חיבה גרידא: "</w:t>
      </w:r>
      <w:r>
        <w:rPr>
          <w:rFonts w:ascii="Miriam" w:eastAsia="Times New Roman" w:hAnsi="Miriam" w:cs="Miriam"/>
          <w:color w:val="000000"/>
          <w:sz w:val="24"/>
          <w:szCs w:val="24"/>
          <w:rtl/>
        </w:rPr>
        <w:t>אין לו זכות לנשק אותי על השפתיים... אין לו שום קשר וסיבה לתת לי נשיקה על השפתיים, לא משנה באיזה צורה</w:t>
      </w:r>
      <w:r>
        <w:rPr>
          <w:rFonts w:ascii="David" w:eastAsia="Times New Roman" w:hAnsi="David" w:cs="David"/>
          <w:color w:val="000000"/>
          <w:sz w:val="24"/>
          <w:szCs w:val="24"/>
          <w:rtl/>
        </w:rPr>
        <w:t xml:space="preserve">" (עמ' 63).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eastAsia="Times New Roman" w:hAnsi="David" w:cs="David"/>
          <w:color w:val="000000"/>
          <w:sz w:val="24"/>
          <w:szCs w:val="24"/>
          <w:rtl/>
        </w:rPr>
        <w:t xml:space="preserve">ב.ב. תיארה את מעשה הנאשם </w:t>
      </w:r>
      <w:r>
        <w:rPr>
          <w:rFonts w:ascii="David" w:eastAsia="Times New Roman" w:hAnsi="David" w:cs="David"/>
          <w:color w:val="000000"/>
          <w:sz w:val="24"/>
          <w:szCs w:val="24"/>
          <w:u w:val="single"/>
          <w:rtl/>
        </w:rPr>
        <w:t>בחדר השינה של אמה</w:t>
      </w:r>
      <w:r>
        <w:rPr>
          <w:rFonts w:ascii="David" w:eastAsia="Times New Roman" w:hAnsi="David" w:cs="David"/>
          <w:color w:val="000000"/>
          <w:sz w:val="24"/>
          <w:szCs w:val="24"/>
          <w:rtl/>
        </w:rPr>
        <w:t xml:space="preserve"> (סעיף 7 לאישום השני). סיפרה כיצד נחה בחדר השינה של אמה, הנאשם נכנס משך את ידה וחיבק אותה וזו הייתה הפעם האחרונה בה הנאשם פגע בה. ב.ב לא הכחישה כי המעשה נשא אופי פחות מיני מקודמיו, אך הכּניסה לחדר השינה של האם והחיבוק ההדוק שהגיע לאחר כל הפגיעות, אינם מאפשרים לה להבליג ואין מדובר בחיבוק שנעשה בעת פגישה מקרית אלא בכניסה לחדר בביתה הפרטי ורק כדי לחבקה </w:t>
      </w:r>
      <w:r>
        <w:rPr>
          <w:rFonts w:ascii="David" w:hAnsi="David" w:cs="David"/>
          <w:sz w:val="24"/>
          <w:szCs w:val="24"/>
          <w:rtl/>
        </w:rPr>
        <w:t xml:space="preserve">(עמ' 34 ש' 20-16, עמ' 66 ש' 22-20, עמ' 68 שורה 3-2).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ב.ב העידה כי המעשים אירעו לאורך שנתיים לכל היותר, כשהייתה בכיתה ה' ולכל המאוחר ו'. המעשים פסקו בבת אחת ואין היא יודעת מדוע (עמ' 36).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hAnsi="David" w:cs="David"/>
          <w:sz w:val="24"/>
          <w:szCs w:val="24"/>
          <w:rtl/>
        </w:rPr>
        <w:t xml:space="preserve">ב.ב לא סיפרה לאמה על אודות הפגיעה בה, אלא בשלב מאוחר. לדבריה לא עשתה כן מחשש שאמה תתמוטט, לאור מצבה הרעוע ובעיקר נוכח העובדה כי הנאשם ואשתו שִמשו באותו שלב המשענת היחידה שהייתה לה. עוד הסבירה ב.ב כי חששה לפגוע במשפחת הנאשם בשל קשרי החברות האמיצים שנקשרו בין הילדים.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ב.ב החליטה לספר לאמה על שעשה לה הנאשם רק כשהייתה בכיתה י"א. הנאשם חגג אותה עת יום הולדת 60 ואמה החמיאה (שלא בפניו)  על טוב לבו. ב.ב. גמרה אומר לספר לאם על מעלליו אך ההזדמנות הוחמצה. באותה עת ב.ב הייתה בטיפול פסיכולוגי וסיכמה עם המטפלת שיספרו לאם ביחד, אך העניין נדחה ולבסוף התגלה באופן ספונטני, כשב.ב נכשלה במבחן נהיגה הראשון ובתגובה בכתה רבות ואמרה שאבא לא שומר עליה יותר. כשאמה ביקשה ממנה להירגע צעקה עליה ב.ב. בייאוש שהנאשם הטריד אותה מינית. לאחר מכן ב.ב לא הייתה מעוניינת לגשת למשטרה, אלא רק שאמה תלך לדבר איתם, אבל אחרי שהבינה שגם בנות אחרות עלולות להיפגע – התגלגלו העניינים להגשת התלונה.</w:t>
      </w:r>
    </w:p>
    <w:p w:rsidR="005B163D" w:rsidRDefault="005B163D" w:rsidP="005B163D">
      <w:pPr>
        <w:shd w:val="clear" w:color="auto" w:fill="FFFFFF"/>
        <w:spacing w:line="360" w:lineRule="atLeast"/>
        <w:ind w:left="84"/>
        <w:jc w:val="both"/>
        <w:rPr>
          <w:rFonts w:ascii="David" w:hAnsi="David"/>
          <w:color w:val="000000"/>
          <w:rtl/>
        </w:rPr>
      </w:pPr>
    </w:p>
    <w:p w:rsidR="005B163D" w:rsidRDefault="005B163D" w:rsidP="005B163D">
      <w:pPr>
        <w:shd w:val="clear" w:color="auto" w:fill="FFFFFF"/>
        <w:spacing w:line="360" w:lineRule="atLeast"/>
        <w:ind w:left="84"/>
        <w:jc w:val="both"/>
        <w:rPr>
          <w:rFonts w:ascii="David" w:hAnsi="David"/>
          <w:color w:val="000000"/>
          <w:u w:val="single"/>
          <w:rtl/>
        </w:rPr>
      </w:pPr>
      <w:r>
        <w:rPr>
          <w:rFonts w:ascii="David" w:hAnsi="David"/>
          <w:color w:val="000000"/>
          <w:u w:val="single"/>
          <w:rtl/>
        </w:rPr>
        <w:t>חיזוקים לעדותה של ב.ב</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כידוע, רשאי בית המשפט להרשיע נאשם על יסוד עדות יחידה של מתלוננת בעבירת מין, ובלבד שנימק את הכרעתו (סעיף 54א(ב) לפקודת הראיות [נוסח חדש], התשל"א-1971). ברם, לעדותה המהימנה של ב.ב נמצאו חיזוקים משמעותיים רבים, כמפורט להלן:</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עדות אמה של ב.ב תמכה באופן מלא בעדות בתה בנוגע לאופן חשיפת התלונה לפניה.</w:t>
      </w:r>
    </w:p>
    <w:p w:rsidR="005B163D" w:rsidRDefault="005B163D" w:rsidP="005B163D">
      <w:pPr>
        <w:pStyle w:val="ae"/>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אמה של ב.ב אימתה בעדותה את גרסתה של ב.ב כי נהגה </w:t>
      </w:r>
      <w:r>
        <w:rPr>
          <w:rFonts w:ascii="David" w:eastAsia="Times New Roman" w:hAnsi="David" w:cs="David"/>
          <w:color w:val="000000"/>
          <w:sz w:val="24"/>
          <w:szCs w:val="24"/>
          <w:rtl/>
        </w:rPr>
        <w:t>לקחת את אחיה הצעיר על בסיס יומי לבית הנאשם כדי שישחק עם בתו של הנאשם. היו פעמים הסכים "לשחרר" את ב.ב (או את אמו) לעיסוקיהן, אך פעמים רבות עמד האח הצעיר על כך שהמלווה תישאר עמו בבית הנאשם כשהוא משחק שם (עמ' 113 ש' 21-18).</w:t>
      </w:r>
    </w:p>
    <w:p w:rsidR="005B163D" w:rsidRDefault="005B163D" w:rsidP="005B163D">
      <w:pPr>
        <w:pStyle w:val="ae"/>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כפי שצוין לעיל ב.ב לא סיפרה לאמה על הפגיעות סמוך להתרחשותן, אך לאורך השנים חשפה את הפגיעות בפני אחרים: </w:t>
      </w:r>
    </w:p>
    <w:p w:rsidR="005B163D" w:rsidRDefault="005B163D" w:rsidP="005B163D">
      <w:pPr>
        <w:pStyle w:val="ae"/>
        <w:rPr>
          <w:rFonts w:ascii="David" w:hAnsi="David" w:cs="David"/>
          <w:sz w:val="24"/>
          <w:szCs w:val="24"/>
          <w:rtl/>
        </w:rPr>
      </w:pPr>
    </w:p>
    <w:p w:rsidR="005B163D" w:rsidRDefault="005B163D" w:rsidP="00AF31EC">
      <w:pPr>
        <w:pStyle w:val="ae"/>
        <w:numPr>
          <w:ilvl w:val="1"/>
          <w:numId w:val="3"/>
        </w:numPr>
        <w:shd w:val="clear" w:color="auto" w:fill="FFFFFF"/>
        <w:spacing w:after="0" w:line="360" w:lineRule="atLeast"/>
        <w:ind w:left="1410"/>
        <w:jc w:val="both"/>
        <w:rPr>
          <w:rFonts w:ascii="David" w:hAnsi="David" w:cs="David"/>
          <w:sz w:val="24"/>
          <w:szCs w:val="24"/>
        </w:rPr>
      </w:pPr>
      <w:r>
        <w:rPr>
          <w:rFonts w:ascii="David" w:hAnsi="David" w:cs="David"/>
          <w:sz w:val="24"/>
          <w:szCs w:val="24"/>
          <w:rtl/>
        </w:rPr>
        <w:t xml:space="preserve">בסוף כיתה ו' או בכיתה ז' הבינה ב.ב, בעקבות שיעור חינוך מיני, את משמעות מעשי הנאשם, ואז שיתפה את חברתה הטובה </w:t>
      </w:r>
      <w:r w:rsidR="00AF31EC">
        <w:rPr>
          <w:rFonts w:ascii="David" w:hAnsi="David" w:cs="David" w:hint="cs"/>
          <w:sz w:val="24"/>
          <w:szCs w:val="24"/>
          <w:rtl/>
        </w:rPr>
        <w:t>[</w:t>
      </w:r>
      <w:r w:rsidR="00AF31EC" w:rsidRPr="00AF31EC">
        <w:rPr>
          <w:rFonts w:ascii="David" w:hAnsi="David" w:cs="David" w:hint="cs"/>
          <w:b/>
          <w:bCs/>
          <w:sz w:val="24"/>
          <w:szCs w:val="24"/>
          <w:rtl/>
        </w:rPr>
        <w:t>הושמט</w:t>
      </w:r>
      <w:r w:rsidR="00AF31EC">
        <w:rPr>
          <w:rFonts w:ascii="David" w:hAnsi="David" w:cs="David" w:hint="cs"/>
          <w:sz w:val="24"/>
          <w:szCs w:val="24"/>
          <w:rtl/>
        </w:rPr>
        <w:t>]</w:t>
      </w:r>
      <w:r>
        <w:rPr>
          <w:rFonts w:ascii="David" w:hAnsi="David" w:cs="David"/>
          <w:sz w:val="24"/>
          <w:szCs w:val="24"/>
          <w:rtl/>
        </w:rPr>
        <w:t xml:space="preserve"> בכך שנגעו בה ללא רצונה (עמ' 35). </w:t>
      </w:r>
    </w:p>
    <w:p w:rsidR="005B163D" w:rsidRDefault="005B163D" w:rsidP="005B163D">
      <w:pPr>
        <w:pStyle w:val="ae"/>
        <w:shd w:val="clear" w:color="auto" w:fill="FFFFFF"/>
        <w:spacing w:after="0" w:line="360" w:lineRule="atLeast"/>
        <w:ind w:left="1410"/>
        <w:jc w:val="both"/>
        <w:rPr>
          <w:rFonts w:ascii="David" w:hAnsi="David" w:cs="David"/>
          <w:sz w:val="24"/>
          <w:szCs w:val="24"/>
          <w:rtl/>
        </w:rPr>
      </w:pPr>
    </w:p>
    <w:p w:rsidR="005B163D" w:rsidRDefault="00AF31EC" w:rsidP="00AF31EC">
      <w:pPr>
        <w:pStyle w:val="ae"/>
        <w:shd w:val="clear" w:color="auto" w:fill="FFFFFF"/>
        <w:spacing w:after="0" w:line="360" w:lineRule="atLeast"/>
        <w:ind w:left="1410"/>
        <w:jc w:val="both"/>
        <w:rPr>
          <w:rFonts w:ascii="David" w:hAnsi="David" w:cs="David"/>
          <w:sz w:val="24"/>
          <w:szCs w:val="24"/>
        </w:rPr>
      </w:pPr>
      <w:r>
        <w:rPr>
          <w:rFonts w:ascii="David" w:hAnsi="David" w:cs="David" w:hint="cs"/>
          <w:sz w:val="24"/>
          <w:szCs w:val="24"/>
          <w:rtl/>
        </w:rPr>
        <w:lastRenderedPageBreak/>
        <w:t>[</w:t>
      </w:r>
      <w:r w:rsidRPr="00AF31EC">
        <w:rPr>
          <w:rFonts w:ascii="David" w:hAnsi="David" w:cs="David" w:hint="cs"/>
          <w:b/>
          <w:bCs/>
          <w:sz w:val="24"/>
          <w:szCs w:val="24"/>
          <w:rtl/>
        </w:rPr>
        <w:t>הושמט</w:t>
      </w:r>
      <w:r>
        <w:rPr>
          <w:rFonts w:ascii="David" w:hAnsi="David" w:cs="David" w:hint="cs"/>
          <w:sz w:val="24"/>
          <w:szCs w:val="24"/>
          <w:rtl/>
        </w:rPr>
        <w:t>]</w:t>
      </w:r>
      <w:r w:rsidR="005B163D">
        <w:rPr>
          <w:rFonts w:ascii="David" w:hAnsi="David" w:cs="David"/>
          <w:sz w:val="24"/>
          <w:szCs w:val="24"/>
          <w:rtl/>
        </w:rPr>
        <w:t xml:space="preserve"> העידה לפנינו ולא רק אישרה את גרסתה כללית זו של ב.ב, אלא זכרה שב.ב סיפרה לה שחבר המשפחה "</w:t>
      </w:r>
      <w:r>
        <w:rPr>
          <w:rFonts w:ascii="Miriam" w:hAnsi="Miriam" w:cs="Miriam" w:hint="cs"/>
          <w:sz w:val="24"/>
          <w:szCs w:val="24"/>
          <w:rtl/>
        </w:rPr>
        <w:t>[</w:t>
      </w:r>
      <w:r>
        <w:rPr>
          <w:rFonts w:ascii="Miriam" w:hAnsi="Miriam" w:cs="Miriam" w:hint="cs"/>
          <w:b/>
          <w:bCs/>
          <w:sz w:val="24"/>
          <w:szCs w:val="24"/>
          <w:rtl/>
        </w:rPr>
        <w:t xml:space="preserve">שמו הפרטי של הנאשם </w:t>
      </w:r>
      <w:r w:rsidRPr="00AF31EC">
        <w:rPr>
          <w:rFonts w:ascii="Miriam" w:hAnsi="Miriam" w:cs="Miriam" w:hint="cs"/>
          <w:b/>
          <w:bCs/>
          <w:sz w:val="24"/>
          <w:szCs w:val="24"/>
          <w:rtl/>
        </w:rPr>
        <w:t>הושמט</w:t>
      </w:r>
      <w:r>
        <w:rPr>
          <w:rFonts w:ascii="Miriam" w:hAnsi="Miriam" w:cs="Miriam" w:hint="cs"/>
          <w:sz w:val="24"/>
          <w:szCs w:val="24"/>
          <w:rtl/>
        </w:rPr>
        <w:t>]</w:t>
      </w:r>
      <w:r w:rsidR="005B163D">
        <w:rPr>
          <w:rFonts w:ascii="David" w:hAnsi="David" w:cs="David"/>
          <w:sz w:val="24"/>
          <w:szCs w:val="24"/>
          <w:rtl/>
        </w:rPr>
        <w:t>" נגע בה בכמה סיטואציות: בטיול לאילת נגע לה בחזה, אצלו בבית שכב מעליה ועשה "</w:t>
      </w:r>
      <w:r w:rsidR="005B163D">
        <w:rPr>
          <w:rFonts w:ascii="Miriam" w:hAnsi="Miriam" w:cs="Miriam"/>
          <w:sz w:val="24"/>
          <w:szCs w:val="24"/>
          <w:rtl/>
        </w:rPr>
        <w:t>כמו סקס על יבש</w:t>
      </w:r>
      <w:r w:rsidR="005B163D">
        <w:rPr>
          <w:rFonts w:ascii="David" w:hAnsi="David" w:cs="David"/>
          <w:sz w:val="24"/>
          <w:szCs w:val="24"/>
          <w:rtl/>
        </w:rPr>
        <w:t>" והיא פשוט נרדמה ופעם נוספת נגע לה בחזה (עמ' 151-150). בנסיבות העניין, ובחלוף השנים, לא מצאתי לייחס משקל רב לעובדה ש</w:t>
      </w:r>
      <w:r>
        <w:rPr>
          <w:rFonts w:ascii="David" w:hAnsi="David" w:cs="David" w:hint="cs"/>
          <w:sz w:val="24"/>
          <w:szCs w:val="24"/>
          <w:rtl/>
        </w:rPr>
        <w:t>[</w:t>
      </w:r>
      <w:r w:rsidRPr="00AF31EC">
        <w:rPr>
          <w:rFonts w:ascii="David" w:hAnsi="David" w:cs="David" w:hint="cs"/>
          <w:b/>
          <w:bCs/>
          <w:sz w:val="24"/>
          <w:szCs w:val="24"/>
          <w:rtl/>
        </w:rPr>
        <w:t>הושמט</w:t>
      </w:r>
      <w:r>
        <w:rPr>
          <w:rFonts w:ascii="David" w:hAnsi="David" w:cs="David" w:hint="cs"/>
          <w:sz w:val="24"/>
          <w:szCs w:val="24"/>
          <w:rtl/>
        </w:rPr>
        <w:t>]</w:t>
      </w:r>
      <w:r w:rsidR="005B163D">
        <w:rPr>
          <w:rFonts w:ascii="David" w:hAnsi="David" w:cs="David"/>
          <w:sz w:val="24"/>
          <w:szCs w:val="24"/>
          <w:rtl/>
        </w:rPr>
        <w:t xml:space="preserve"> לא זכרה שב.ב סיפרה לה גם על נגיעות הנאשם בישבן או באיבר המין.</w:t>
      </w:r>
    </w:p>
    <w:p w:rsidR="005B163D" w:rsidRDefault="005B163D" w:rsidP="005B163D">
      <w:pPr>
        <w:pStyle w:val="ae"/>
        <w:shd w:val="clear" w:color="auto" w:fill="FFFFFF"/>
        <w:spacing w:after="0" w:line="360" w:lineRule="atLeast"/>
        <w:ind w:left="2610"/>
        <w:jc w:val="both"/>
        <w:rPr>
          <w:rFonts w:ascii="David" w:hAnsi="David" w:cs="David"/>
          <w:sz w:val="24"/>
          <w:szCs w:val="24"/>
          <w:rtl/>
        </w:rPr>
      </w:pPr>
    </w:p>
    <w:p w:rsidR="005B163D" w:rsidRDefault="005B163D" w:rsidP="005B163D">
      <w:pPr>
        <w:pStyle w:val="ae"/>
        <w:numPr>
          <w:ilvl w:val="1"/>
          <w:numId w:val="3"/>
        </w:numPr>
        <w:shd w:val="clear" w:color="auto" w:fill="FFFFFF"/>
        <w:spacing w:after="0" w:line="360" w:lineRule="atLeast"/>
        <w:ind w:left="1410"/>
        <w:jc w:val="both"/>
        <w:rPr>
          <w:rFonts w:ascii="David" w:hAnsi="David" w:cs="David"/>
          <w:sz w:val="24"/>
          <w:szCs w:val="24"/>
        </w:rPr>
      </w:pPr>
      <w:r>
        <w:rPr>
          <w:rFonts w:ascii="David" w:eastAsia="Times New Roman" w:hAnsi="David" w:cs="David"/>
          <w:color w:val="000000"/>
          <w:sz w:val="24"/>
          <w:szCs w:val="24"/>
          <w:rtl/>
        </w:rPr>
        <w:t xml:space="preserve">בהיותה בכיתה ח' השתתפה ב.ב בפעילות בית חם. שם, במסגרת פעילות חברתית, חשפה ב.ב, לדבריה, בפני המדריכה כי עברה פגיעה מינית. המדריכה שיתפה את הדברים עם עו"ס בית חם, אשר שוחחה עם ב.ב וזו סירבה לכל טיפול וביקשה שלא לדווח לאמה על הפגיעה. </w:t>
      </w:r>
    </w:p>
    <w:p w:rsidR="005B163D" w:rsidRDefault="005B163D" w:rsidP="005B163D">
      <w:pPr>
        <w:pStyle w:val="ae"/>
        <w:shd w:val="clear" w:color="auto" w:fill="FFFFFF"/>
        <w:spacing w:after="0" w:line="360" w:lineRule="atLeast"/>
        <w:ind w:left="1410"/>
        <w:jc w:val="both"/>
        <w:rPr>
          <w:rFonts w:ascii="David" w:hAnsi="David" w:cs="David"/>
          <w:sz w:val="24"/>
          <w:szCs w:val="24"/>
        </w:rPr>
      </w:pPr>
    </w:p>
    <w:p w:rsidR="005B163D" w:rsidRDefault="005B163D" w:rsidP="005B163D">
      <w:pPr>
        <w:pStyle w:val="ae"/>
        <w:shd w:val="clear" w:color="auto" w:fill="FFFFFF"/>
        <w:spacing w:after="0" w:line="360" w:lineRule="atLeast"/>
        <w:ind w:left="1410"/>
        <w:jc w:val="both"/>
        <w:rPr>
          <w:rFonts w:ascii="David" w:hAnsi="David" w:cs="David"/>
          <w:sz w:val="24"/>
          <w:szCs w:val="24"/>
        </w:rPr>
      </w:pPr>
      <w:r>
        <w:rPr>
          <w:rFonts w:ascii="David" w:eastAsia="Times New Roman" w:hAnsi="David" w:cs="David"/>
          <w:color w:val="000000"/>
          <w:sz w:val="24"/>
          <w:szCs w:val="24"/>
          <w:rtl/>
        </w:rPr>
        <w:t>ואכן, עדן רומח, המדריכה בבית חם העידה כי ב.ב חשפה בפניה כי הפגיעה התרחשה בבית חברו של אביה (עמ' 143 ש' 14-11). גם עו"ס ומנהלת בית חם, ענבל נחמיה, העידה כי ב.ב סיפרה לה על פגיעה שחוותה בכיתה ה' מאת חבר של המשפחה (ת/11 וכן עמ' 102 ש' 31-29).</w:t>
      </w:r>
    </w:p>
    <w:p w:rsidR="005B163D" w:rsidRDefault="005B163D" w:rsidP="005B163D">
      <w:pPr>
        <w:pStyle w:val="ae"/>
        <w:shd w:val="clear" w:color="auto" w:fill="FFFFFF"/>
        <w:spacing w:after="0" w:line="360" w:lineRule="atLeast"/>
        <w:ind w:left="1410"/>
        <w:jc w:val="both"/>
        <w:rPr>
          <w:rFonts w:ascii="David" w:hAnsi="David" w:cs="David"/>
          <w:sz w:val="24"/>
          <w:szCs w:val="24"/>
          <w:rtl/>
        </w:rPr>
      </w:pPr>
    </w:p>
    <w:p w:rsidR="005B163D" w:rsidRDefault="005B163D" w:rsidP="00AF31EC">
      <w:pPr>
        <w:pStyle w:val="ae"/>
        <w:numPr>
          <w:ilvl w:val="1"/>
          <w:numId w:val="3"/>
        </w:numPr>
        <w:shd w:val="clear" w:color="auto" w:fill="FFFFFF"/>
        <w:spacing w:after="0" w:line="360" w:lineRule="atLeast"/>
        <w:ind w:left="1410"/>
        <w:jc w:val="both"/>
        <w:rPr>
          <w:rFonts w:ascii="David" w:hAnsi="David" w:cs="David"/>
          <w:sz w:val="24"/>
          <w:szCs w:val="24"/>
        </w:rPr>
      </w:pPr>
      <w:r>
        <w:rPr>
          <w:rFonts w:ascii="David" w:eastAsia="Times New Roman" w:hAnsi="David" w:cs="David"/>
          <w:color w:val="000000"/>
          <w:sz w:val="24"/>
          <w:szCs w:val="24"/>
          <w:rtl/>
        </w:rPr>
        <w:t xml:space="preserve">בהיותה כבת 16, שיתפה ב.ב את בן זוגה, </w:t>
      </w:r>
      <w:r w:rsidR="00AF31EC">
        <w:rPr>
          <w:rFonts w:ascii="David" w:eastAsia="Times New Roman" w:hAnsi="David" w:cs="David" w:hint="cs"/>
          <w:color w:val="000000"/>
          <w:sz w:val="24"/>
          <w:szCs w:val="24"/>
          <w:rtl/>
        </w:rPr>
        <w:t>[</w:t>
      </w:r>
      <w:r w:rsidR="00AF31EC" w:rsidRPr="00AF31EC">
        <w:rPr>
          <w:rFonts w:ascii="David" w:eastAsia="Times New Roman" w:hAnsi="David" w:cs="David" w:hint="cs"/>
          <w:b/>
          <w:bCs/>
          <w:color w:val="000000"/>
          <w:sz w:val="24"/>
          <w:szCs w:val="24"/>
          <w:rtl/>
        </w:rPr>
        <w:t>הושמט</w:t>
      </w:r>
      <w:r w:rsidR="00AF31EC">
        <w:rPr>
          <w:rFonts w:ascii="David" w:eastAsia="Times New Roman" w:hAnsi="David" w:cs="David" w:hint="cs"/>
          <w:color w:val="000000"/>
          <w:sz w:val="24"/>
          <w:szCs w:val="24"/>
          <w:rtl/>
        </w:rPr>
        <w:t>]</w:t>
      </w:r>
      <w:r>
        <w:rPr>
          <w:rFonts w:ascii="David" w:eastAsia="Times New Roman" w:hAnsi="David" w:cs="David"/>
          <w:color w:val="000000"/>
          <w:sz w:val="24"/>
          <w:szCs w:val="24"/>
          <w:rtl/>
        </w:rPr>
        <w:t>, כבר בתחילת הקשר ביניהם.</w:t>
      </w:r>
    </w:p>
    <w:p w:rsidR="005B163D" w:rsidRDefault="005B163D" w:rsidP="005B163D">
      <w:pPr>
        <w:pStyle w:val="ae"/>
        <w:shd w:val="clear" w:color="auto" w:fill="FFFFFF"/>
        <w:spacing w:after="0" w:line="360" w:lineRule="atLeast"/>
        <w:ind w:left="1410"/>
        <w:jc w:val="both"/>
        <w:rPr>
          <w:rFonts w:ascii="David" w:eastAsia="Times New Roman" w:hAnsi="David" w:cs="David"/>
          <w:color w:val="000000"/>
          <w:sz w:val="24"/>
          <w:szCs w:val="24"/>
        </w:rPr>
      </w:pPr>
    </w:p>
    <w:p w:rsidR="005B163D" w:rsidRDefault="00AF31EC" w:rsidP="005B163D">
      <w:pPr>
        <w:pStyle w:val="ae"/>
        <w:shd w:val="clear" w:color="auto" w:fill="FFFFFF"/>
        <w:spacing w:after="0" w:line="360" w:lineRule="atLeast"/>
        <w:ind w:left="1410"/>
        <w:jc w:val="both"/>
        <w:rPr>
          <w:rFonts w:ascii="David" w:hAnsi="David" w:cs="David"/>
          <w:sz w:val="24"/>
          <w:szCs w:val="24"/>
        </w:rPr>
      </w:pPr>
      <w:r>
        <w:rPr>
          <w:rFonts w:ascii="David" w:eastAsia="Times New Roman" w:hAnsi="David" w:cs="David" w:hint="cs"/>
          <w:color w:val="000000"/>
          <w:sz w:val="24"/>
          <w:szCs w:val="24"/>
          <w:rtl/>
        </w:rPr>
        <w:t>[</w:t>
      </w:r>
      <w:r w:rsidRPr="00AF31EC">
        <w:rPr>
          <w:rFonts w:ascii="David" w:eastAsia="Times New Roman" w:hAnsi="David" w:cs="David" w:hint="cs"/>
          <w:b/>
          <w:bCs/>
          <w:color w:val="000000"/>
          <w:sz w:val="24"/>
          <w:szCs w:val="24"/>
          <w:rtl/>
        </w:rPr>
        <w:t>הושמט</w:t>
      </w:r>
      <w:r>
        <w:rPr>
          <w:rFonts w:ascii="David" w:eastAsia="Times New Roman" w:hAnsi="David" w:cs="David" w:hint="cs"/>
          <w:color w:val="000000"/>
          <w:sz w:val="24"/>
          <w:szCs w:val="24"/>
          <w:rtl/>
        </w:rPr>
        <w:t>]</w:t>
      </w:r>
      <w:r w:rsidR="005B163D">
        <w:rPr>
          <w:rFonts w:ascii="David" w:eastAsia="Times New Roman" w:hAnsi="David" w:cs="David"/>
          <w:color w:val="000000"/>
          <w:sz w:val="24"/>
          <w:szCs w:val="24"/>
          <w:rtl/>
        </w:rPr>
        <w:t xml:space="preserve">  העיד כי בחודש יוני 2020 ב.ב סיפרה לו כי שכבה לנוח בבית הנאשם והוא עלה עליה מאחור ו</w:t>
      </w:r>
      <w:r w:rsidR="005B163D">
        <w:rPr>
          <w:rFonts w:ascii="David" w:eastAsia="Times New Roman" w:hAnsi="David" w:cs="David"/>
          <w:color w:val="000000"/>
          <w:sz w:val="24"/>
          <w:szCs w:val="24"/>
        </w:rPr>
        <w:t>"</w:t>
      </w:r>
      <w:r w:rsidR="005B163D">
        <w:rPr>
          <w:rFonts w:ascii="Miriam" w:hAnsi="Miriam" w:cs="Miriam"/>
          <w:sz w:val="24"/>
          <w:szCs w:val="24"/>
          <w:rtl/>
        </w:rPr>
        <w:t>עשה תנועות שהוא כאילו שוכב איתה</w:t>
      </w:r>
      <w:r w:rsidR="005B163D">
        <w:rPr>
          <w:rFonts w:ascii="Miriam" w:eastAsia="Times New Roman" w:hAnsi="Miriam" w:cs="Miriam"/>
          <w:color w:val="000000"/>
          <w:sz w:val="24"/>
          <w:szCs w:val="24"/>
          <w:rtl/>
        </w:rPr>
        <w:t xml:space="preserve">" </w:t>
      </w:r>
      <w:r w:rsidR="005B163D">
        <w:rPr>
          <w:rFonts w:ascii="David" w:hAnsi="David" w:cs="David"/>
          <w:sz w:val="24"/>
          <w:szCs w:val="24"/>
          <w:rtl/>
        </w:rPr>
        <w:t>(</w:t>
      </w:r>
      <w:r w:rsidR="005B163D">
        <w:rPr>
          <w:rFonts w:ascii="David" w:eastAsia="Times New Roman" w:hAnsi="David" w:cs="David"/>
          <w:color w:val="000000"/>
          <w:sz w:val="24"/>
          <w:szCs w:val="24"/>
          <w:rtl/>
        </w:rPr>
        <w:t xml:space="preserve">עמ' 154 ש' 13-5), וכן סיפרה לו שגם נגע בחזהּ כשהייתה קטנה באיזה טיול ואמר לה שלבתו </w:t>
      </w:r>
      <w:r w:rsidR="005B163D">
        <w:rPr>
          <w:rFonts w:ascii="Miriam" w:eastAsia="Times New Roman" w:hAnsi="Miriam" w:cs="Miriam"/>
          <w:color w:val="000000"/>
          <w:sz w:val="24"/>
          <w:szCs w:val="24"/>
          <w:rtl/>
        </w:rPr>
        <w:t>"אין כאלה".</w:t>
      </w:r>
      <w:r w:rsidR="005B163D">
        <w:rPr>
          <w:rFonts w:ascii="David" w:eastAsia="Times New Roman" w:hAnsi="David" w:cs="David"/>
          <w:color w:val="000000"/>
          <w:sz w:val="24"/>
          <w:szCs w:val="24"/>
          <w:rtl/>
        </w:rPr>
        <w:t xml:space="preserve"> עוד אמרה לו ב.ב שהיו עוד מקרים שהנאשם נגע בה, בעיקר באיברים מקדימה. ב.ב סיפרה לשגיא על המעשים טיפין טיפין.</w:t>
      </w:r>
    </w:p>
    <w:p w:rsidR="005B163D" w:rsidRDefault="005B163D" w:rsidP="005B163D">
      <w:pPr>
        <w:pStyle w:val="ae"/>
        <w:shd w:val="clear" w:color="auto" w:fill="FFFFFF"/>
        <w:spacing w:after="0" w:line="360" w:lineRule="atLeast"/>
        <w:ind w:left="1410"/>
        <w:jc w:val="both"/>
        <w:rPr>
          <w:rFonts w:ascii="David" w:hAnsi="David" w:cs="David"/>
          <w:sz w:val="24"/>
          <w:szCs w:val="24"/>
          <w:rtl/>
        </w:rPr>
      </w:pPr>
    </w:p>
    <w:p w:rsidR="005B163D" w:rsidRDefault="005B163D" w:rsidP="005B163D">
      <w:pPr>
        <w:pStyle w:val="ae"/>
        <w:numPr>
          <w:ilvl w:val="1"/>
          <w:numId w:val="3"/>
        </w:numPr>
        <w:shd w:val="clear" w:color="auto" w:fill="FFFFFF"/>
        <w:spacing w:after="0" w:line="360" w:lineRule="atLeast"/>
        <w:ind w:left="1410"/>
        <w:jc w:val="both"/>
        <w:rPr>
          <w:rFonts w:ascii="David" w:hAnsi="David" w:cs="David"/>
          <w:sz w:val="24"/>
          <w:szCs w:val="24"/>
          <w:rtl/>
        </w:rPr>
      </w:pPr>
      <w:r>
        <w:rPr>
          <w:rFonts w:ascii="David" w:eastAsia="Times New Roman" w:hAnsi="David" w:cs="David"/>
          <w:color w:val="000000"/>
          <w:sz w:val="24"/>
          <w:szCs w:val="24"/>
          <w:rtl/>
        </w:rPr>
        <w:t xml:space="preserve">כאמור, לאחר שגמרה אומר לחשוף את הדברים בפני אמה, ולפני שעשתה כן, סיפרה באופן כללי על הפגיעה גם למטפלת שלה, והן סיכמו להתכונן ביחד לכך שב.ב תספר לאמה על הפגיעות. </w:t>
      </w:r>
    </w:p>
    <w:p w:rsidR="005B163D" w:rsidRDefault="005B163D" w:rsidP="005B163D">
      <w:pPr>
        <w:pStyle w:val="ae"/>
        <w:shd w:val="clear" w:color="auto" w:fill="FFFFFF"/>
        <w:spacing w:after="0" w:line="360" w:lineRule="atLeast"/>
        <w:ind w:left="1410"/>
        <w:jc w:val="both"/>
        <w:rPr>
          <w:rFonts w:ascii="David" w:eastAsia="Times New Roman" w:hAnsi="David" w:cs="David"/>
          <w:color w:val="000000"/>
          <w:sz w:val="24"/>
          <w:szCs w:val="24"/>
          <w:rtl/>
        </w:rPr>
      </w:pPr>
    </w:p>
    <w:p w:rsidR="005B163D" w:rsidRDefault="005B163D" w:rsidP="00AF31EC">
      <w:pPr>
        <w:pStyle w:val="ae"/>
        <w:shd w:val="clear" w:color="auto" w:fill="FFFFFF"/>
        <w:spacing w:after="0" w:line="360" w:lineRule="atLeast"/>
        <w:ind w:left="1410"/>
        <w:jc w:val="both"/>
        <w:rPr>
          <w:rFonts w:ascii="David" w:hAnsi="David" w:cs="David"/>
          <w:sz w:val="24"/>
          <w:szCs w:val="24"/>
        </w:rPr>
      </w:pPr>
      <w:r>
        <w:rPr>
          <w:rFonts w:ascii="David" w:eastAsia="Times New Roman" w:hAnsi="David" w:cs="David"/>
          <w:color w:val="000000"/>
          <w:sz w:val="24"/>
          <w:szCs w:val="24"/>
          <w:rtl/>
        </w:rPr>
        <w:t xml:space="preserve">המטפלת עינת המל לא העידה לפנינו, ואולם אמרתה ת/25 הוגשה בהסכמה. מן האמרה עולה כי ב.ב אכן חשפה לפניה באופן כללי חלק מן הפגיעות המיניות של </w:t>
      </w:r>
      <w:r>
        <w:rPr>
          <w:rFonts w:ascii="Miriam" w:eastAsia="Times New Roman" w:hAnsi="Miriam" w:cs="Miriam"/>
          <w:color w:val="000000"/>
          <w:sz w:val="24"/>
          <w:szCs w:val="24"/>
          <w:rtl/>
        </w:rPr>
        <w:t>"</w:t>
      </w:r>
      <w:r w:rsidR="00AF31EC">
        <w:rPr>
          <w:rFonts w:ascii="Miriam" w:eastAsia="Times New Roman" w:hAnsi="Miriam" w:cs="Miriam" w:hint="cs"/>
          <w:color w:val="000000"/>
          <w:sz w:val="24"/>
          <w:szCs w:val="24"/>
          <w:rtl/>
        </w:rPr>
        <w:t>[</w:t>
      </w:r>
      <w:r w:rsidR="00AF31EC" w:rsidRPr="00AF31EC">
        <w:rPr>
          <w:rFonts w:ascii="Miriam" w:eastAsia="Times New Roman" w:hAnsi="Miriam" w:cs="Miriam" w:hint="cs"/>
          <w:b/>
          <w:bCs/>
          <w:color w:val="000000"/>
          <w:sz w:val="24"/>
          <w:szCs w:val="24"/>
          <w:rtl/>
        </w:rPr>
        <w:t>הושמט</w:t>
      </w:r>
      <w:r w:rsidR="00AF31EC">
        <w:rPr>
          <w:rFonts w:ascii="Miriam" w:eastAsia="Times New Roman" w:hAnsi="Miriam" w:cs="Miriam" w:hint="cs"/>
          <w:color w:val="000000"/>
          <w:sz w:val="24"/>
          <w:szCs w:val="24"/>
          <w:rtl/>
        </w:rPr>
        <w:t>]</w:t>
      </w:r>
      <w:r>
        <w:rPr>
          <w:rFonts w:ascii="Miriam" w:eastAsia="Times New Roman" w:hAnsi="Miriam" w:cs="Miriam"/>
          <w:color w:val="000000"/>
          <w:sz w:val="24"/>
          <w:szCs w:val="24"/>
          <w:rtl/>
        </w:rPr>
        <w:t>"</w:t>
      </w:r>
      <w:r>
        <w:rPr>
          <w:rFonts w:ascii="David" w:eastAsia="Times New Roman" w:hAnsi="David" w:cs="David"/>
          <w:color w:val="000000"/>
          <w:sz w:val="24"/>
          <w:szCs w:val="24"/>
          <w:rtl/>
        </w:rPr>
        <w:t xml:space="preserve">, חבר המשפחה, בדגש על מגע בישבן בעת שב.ב ישנה בביתו. </w:t>
      </w:r>
    </w:p>
    <w:p w:rsidR="005B163D" w:rsidRDefault="005B163D" w:rsidP="005B163D">
      <w:pPr>
        <w:pStyle w:val="ae"/>
        <w:shd w:val="clear" w:color="auto" w:fill="FFFFFF"/>
        <w:spacing w:after="0" w:line="360" w:lineRule="atLeast"/>
        <w:ind w:left="1410"/>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חיזוק נוסף לעדותה של ב.ב נמצא בהתנהגות הנאשם בעימות שערכה המשטרה בינו לבין ב.ב. </w:t>
      </w:r>
    </w:p>
    <w:p w:rsidR="005B163D" w:rsidRDefault="005B163D" w:rsidP="005B163D">
      <w:pPr>
        <w:pStyle w:val="ae"/>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eastAsia="Times New Roman" w:hAnsi="David" w:cs="David"/>
          <w:color w:val="000000"/>
          <w:sz w:val="24"/>
          <w:szCs w:val="24"/>
          <w:rtl/>
        </w:rPr>
        <w:t xml:space="preserve">במסגרת העימות הטיחה ב.ב בנאשם את הפגיעות אחת לאחת:  </w:t>
      </w:r>
      <w:r>
        <w:rPr>
          <w:rFonts w:ascii="Miriam" w:eastAsia="Times New Roman" w:hAnsi="Miriam" w:cs="Miriam"/>
          <w:color w:val="000000"/>
          <w:sz w:val="24"/>
          <w:szCs w:val="24"/>
          <w:rtl/>
        </w:rPr>
        <w:t xml:space="preserve">"הייתי אצלך... אתה נגעת לי באיברים הפרטיים... באילת בבריכה... נגעת לי בציצי, נגעת לי בפות, זה קרה גם בחדר העבודה... נישקת אותי בדרך ללובי מהצימרים זה היה באחד הטיולים". </w:t>
      </w:r>
      <w:r>
        <w:rPr>
          <w:rFonts w:ascii="David" w:eastAsia="Times New Roman" w:hAnsi="David" w:cs="David"/>
          <w:color w:val="000000"/>
          <w:sz w:val="24"/>
          <w:szCs w:val="24"/>
          <w:rtl/>
        </w:rPr>
        <w:t>ובהמשך,</w:t>
      </w:r>
      <w:r>
        <w:rPr>
          <w:rFonts w:ascii="Miriam" w:eastAsia="Times New Roman" w:hAnsi="Miriam" w:cs="Miriam"/>
          <w:color w:val="000000"/>
          <w:sz w:val="24"/>
          <w:szCs w:val="24"/>
          <w:rtl/>
        </w:rPr>
        <w:t xml:space="preserve"> "אמרת לי לישון ועשית לי תנועות על הגוף על התחת שלי" </w:t>
      </w:r>
      <w:r>
        <w:rPr>
          <w:rFonts w:ascii="David" w:eastAsia="Times New Roman" w:hAnsi="David" w:cs="David"/>
          <w:color w:val="000000"/>
          <w:sz w:val="24"/>
          <w:szCs w:val="24"/>
          <w:rtl/>
        </w:rPr>
        <w:t xml:space="preserve">(ת/2א, ש' 13-1) וגם, </w:t>
      </w:r>
      <w:r>
        <w:rPr>
          <w:rFonts w:ascii="Miriam" w:hAnsi="Miriam" w:cs="Miriam"/>
          <w:sz w:val="24"/>
          <w:szCs w:val="24"/>
          <w:rtl/>
        </w:rPr>
        <w:t xml:space="preserve">"שנישקת אותי בפה זה היה בטיול לכנרת כשאח שלי הקטן והבת שלך היו מלפנינו..." </w:t>
      </w:r>
      <w:r>
        <w:rPr>
          <w:rFonts w:ascii="David" w:hAnsi="David" w:cs="David"/>
          <w:sz w:val="24"/>
          <w:szCs w:val="24"/>
          <w:rtl/>
        </w:rPr>
        <w:t>(ת/2 ש' 33-31).</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hAnsi="David" w:cs="David"/>
          <w:sz w:val="24"/>
          <w:szCs w:val="24"/>
          <w:rtl/>
        </w:rPr>
        <w:t xml:space="preserve">הנאשם אמנם הכחיש במסגרת העימות את כל אשר יוחס לו, אך בין השאר מצא לנכון לומר לב.ב את המשפט הבא: </w:t>
      </w:r>
      <w:r>
        <w:rPr>
          <w:rFonts w:ascii="Miriam" w:hAnsi="Miriam" w:cs="Miriam"/>
          <w:sz w:val="24"/>
          <w:szCs w:val="24"/>
          <w:rtl/>
        </w:rPr>
        <w:t xml:space="preserve">"מתי נישקתי אותך בפה? </w:t>
      </w:r>
      <w:r>
        <w:rPr>
          <w:rFonts w:ascii="Miriam" w:hAnsi="Miriam" w:cs="Miriam"/>
          <w:b/>
          <w:bCs/>
          <w:sz w:val="24"/>
          <w:szCs w:val="24"/>
          <w:rtl/>
        </w:rPr>
        <w:t>זה לא היה מכוונה מינית</w:t>
      </w:r>
      <w:r>
        <w:rPr>
          <w:rFonts w:ascii="Miriam" w:hAnsi="Miriam" w:cs="Miriam"/>
          <w:sz w:val="24"/>
          <w:szCs w:val="24"/>
          <w:rtl/>
        </w:rPr>
        <w:t xml:space="preserve">, </w:t>
      </w:r>
      <w:r>
        <w:rPr>
          <w:rFonts w:ascii="Miriam" w:hAnsi="Miriam" w:cs="Miriam"/>
          <w:b/>
          <w:bCs/>
          <w:sz w:val="24"/>
          <w:szCs w:val="24"/>
          <w:rtl/>
        </w:rPr>
        <w:t>היא הייתה אומרת לי אני כמו הילדים שלך, תנשק, תחבק</w:t>
      </w:r>
      <w:r>
        <w:rPr>
          <w:rFonts w:ascii="Miriam" w:hAnsi="Miriam" w:cs="Miriam"/>
          <w:sz w:val="24"/>
          <w:szCs w:val="24"/>
          <w:rtl/>
        </w:rPr>
        <w:t>, נישקתי בראש, בפנים, בפה לא היה"</w:t>
      </w:r>
      <w:r>
        <w:rPr>
          <w:rFonts w:ascii="David" w:hAnsi="David" w:cs="David"/>
          <w:sz w:val="24"/>
          <w:szCs w:val="24"/>
          <w:rtl/>
        </w:rPr>
        <w:t xml:space="preserve"> (ש' 11-9; ההדגשה שלי – מ' ק'). הנה כי כן, הנאשם הודה שנישק את ב.ב, אך לדבריו לא בפה ולא בכוונה מינית, ואף האשים את ב.ב בכך שהיא זו שתבעה את קרבתו הפיזית.</w:t>
      </w:r>
    </w:p>
    <w:p w:rsidR="005B163D" w:rsidRDefault="005B163D" w:rsidP="005B163D">
      <w:pPr>
        <w:pStyle w:val="ae"/>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גם אופן החשיפה המאוחרת לפני האם (ויוזכר כי ב.ב לא כבשה את תלונתה אלא חשפה את עיקריה לפני מספר גורמים טרם פנתה לאמה) מחזק את גרסתה של ב.ב. הסברה של ב.ב להסתרת התלונה מפני אמה (וגם לכך שגם לאחר ביצוע המעשים המשיכה לצאת לטיולים עם משפחת הנאשם) הוא הסבר רציונאלי ומשכנע, והחלטתה שבשלה העת לחשוף לפניה את הדברים באה בעקבות השבחים שהרעיפה האם על הנאשם – שבחים שהיו לצנינים בעיני העדה.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u w:val="single"/>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לא למותר לציין כי מצבה הנפשי של ב.ב בעת החשיפה והגילוי לכל אחד מן הגורמים שהוזכרו למעלה: חברתה גאיה, הצוות ב"בית חם", בן הזוג שגיא, הפסיכולוגית עינת המל ולבסוף אמה, יכול היה לשמש סיוע לעדותה, לוּ נזקקה עדותה לסיוע.</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לבסוף יש לתת את הדעת לכך שישנם קווי דמיון מובהקים בין עדותה של ק', אחייניתו של הנאשם, אודות המעשים שביצע בה הנאשם לבין גרסתה של ב.ב ל"מעשה הבעילה היבש".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ק' העידה כי בשנות ילדותה הייתה מגיעה לבית הנאשם לשמוע תקליטים (הנאשם היה ועודנו תקליטן). הנאשם </w:t>
      </w:r>
      <w:r>
        <w:rPr>
          <w:rFonts w:ascii="Miriam" w:eastAsia="Times New Roman" w:hAnsi="Miriam" w:cs="Miriam"/>
          <w:color w:val="000000"/>
          <w:sz w:val="24"/>
          <w:szCs w:val="24"/>
          <w:rtl/>
        </w:rPr>
        <w:t>"באופן מאוד מנומס ומקרב"</w:t>
      </w:r>
      <w:r>
        <w:rPr>
          <w:rFonts w:ascii="David" w:eastAsia="Times New Roman" w:hAnsi="David" w:cs="David"/>
          <w:color w:val="000000"/>
          <w:sz w:val="24"/>
          <w:szCs w:val="24"/>
          <w:rtl/>
        </w:rPr>
        <w:t xml:space="preserve"> (עמ' 337 ש' 33) היה שם אותה על המיטה בחדרו, תופס את ידיה וגוהר מעליה כשהוא והיא לבושים עד שנשמעה אנחה והיא הרגישה את זקפת הנאשם באיבר מינה. העדה הבהירה כי הנאשם לא דיבר במהלך האקט.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ק' הייתה ילדה מאומצת לאימא חולה בסרטן ולאבא חלש אופי. "טרף קל" כהגדרתה. ק' סיפרה לאביה על המעשים, שלדבריה נמשכו כחצי שנה, אך סבה (אבי הנאשם) שהיה אדם מאוד דומיננטי השתיק את העניין. כך "נקבר" הסיפור למשך 30 שנה. ק' החליטה לחשוף את סיפורה רק לאחר ששמעה מאחי הנאשם ומגרושתו שהנאשם מואשם בביצוע עבירות מין בילדה אחרת.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b/>
          <w:bCs/>
          <w:color w:val="000000"/>
          <w:sz w:val="24"/>
          <w:szCs w:val="24"/>
          <w:rtl/>
        </w:rPr>
      </w:pPr>
      <w:r>
        <w:rPr>
          <w:rFonts w:ascii="David" w:eastAsia="Times New Roman" w:hAnsi="David" w:cs="David"/>
          <w:b/>
          <w:bCs/>
          <w:color w:val="000000"/>
          <w:sz w:val="24"/>
          <w:szCs w:val="24"/>
          <w:rtl/>
        </w:rPr>
        <w:t xml:space="preserve">עדותה של ק' הותירה בנו רושם אמין. ק', שניכר כי בעת עדותה נתונה הייתה בסערת רגשות, דייקה בפרטים שמסרה, סיפקה הסבר משכנע לכבישת תלונתה (ולכך שהחליטה לחשוף אותה כעת) ולא ניסתה להשחיר את פני הנאשם בדרך של ייחוס מעשים חמורים פי כמה. </w:t>
      </w:r>
    </w:p>
    <w:p w:rsidR="005B163D" w:rsidRDefault="005B163D" w:rsidP="005B163D">
      <w:pPr>
        <w:pStyle w:val="ae"/>
        <w:rPr>
          <w:rFonts w:ascii="David" w:eastAsia="Times New Roman" w:hAnsi="David" w:cs="David"/>
          <w:b/>
          <w:bCs/>
          <w:color w:val="000000"/>
          <w:sz w:val="24"/>
          <w:szCs w:val="24"/>
          <w:highlight w:val="yellow"/>
          <w:u w:val="single"/>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הדמיון בין התיאור של ק' לעדותה של ב.ב הוא בשלושה היבטים: </w:t>
      </w:r>
      <w:r>
        <w:rPr>
          <w:rFonts w:ascii="David" w:eastAsia="Times New Roman" w:hAnsi="David" w:cs="David"/>
          <w:color w:val="000000"/>
          <w:sz w:val="24"/>
          <w:szCs w:val="24"/>
          <w:u w:val="single"/>
          <w:rtl/>
        </w:rPr>
        <w:t>טיב המעשה</w:t>
      </w:r>
      <w:r>
        <w:rPr>
          <w:rFonts w:ascii="David" w:eastAsia="Times New Roman" w:hAnsi="David" w:cs="David"/>
          <w:color w:val="000000"/>
          <w:sz w:val="24"/>
          <w:szCs w:val="24"/>
          <w:rtl/>
        </w:rPr>
        <w:t xml:space="preserve">: גהירה מאחור, חיכוך איבר מין באיבר מין, מעל הבגדים, בשקט גמור, </w:t>
      </w:r>
      <w:r>
        <w:rPr>
          <w:rFonts w:ascii="David" w:eastAsia="Times New Roman" w:hAnsi="David" w:cs="David"/>
          <w:color w:val="000000"/>
          <w:sz w:val="24"/>
          <w:szCs w:val="24"/>
          <w:u w:val="single"/>
          <w:rtl/>
        </w:rPr>
        <w:t>טיב הקורבן</w:t>
      </w:r>
      <w:r>
        <w:rPr>
          <w:rFonts w:ascii="David" w:eastAsia="Times New Roman" w:hAnsi="David" w:cs="David"/>
          <w:color w:val="000000"/>
          <w:sz w:val="24"/>
          <w:szCs w:val="24"/>
          <w:rtl/>
        </w:rPr>
        <w:t>: ילדה פגיעה מאוד בתחילת גיל ההתבגרות ו</w:t>
      </w:r>
      <w:r>
        <w:rPr>
          <w:rFonts w:ascii="David" w:eastAsia="Times New Roman" w:hAnsi="David" w:cs="David"/>
          <w:color w:val="000000"/>
          <w:sz w:val="24"/>
          <w:szCs w:val="24"/>
          <w:u w:val="single"/>
          <w:rtl/>
        </w:rPr>
        <w:t>טיב הקשר בין הנאשם לקורבן</w:t>
      </w:r>
      <w:r>
        <w:rPr>
          <w:rFonts w:ascii="David" w:eastAsia="Times New Roman" w:hAnsi="David" w:cs="David"/>
          <w:color w:val="000000"/>
          <w:sz w:val="24"/>
          <w:szCs w:val="24"/>
          <w:rtl/>
        </w:rPr>
        <w:t xml:space="preserve">: קשר משפחתי, או מעין משפחתי, בין הנאשם להורי הקורבן, מגורים סמוכים והגעה לבית הנאשם.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sz w:val="24"/>
          <w:szCs w:val="24"/>
          <w:rtl/>
        </w:rPr>
      </w:pPr>
      <w:r>
        <w:rPr>
          <w:rFonts w:ascii="David" w:eastAsia="Times New Roman" w:hAnsi="David" w:cs="David"/>
          <w:color w:val="000000"/>
          <w:sz w:val="24"/>
          <w:szCs w:val="24"/>
          <w:rtl/>
        </w:rPr>
        <w:t>בנסיבות אלה, מחזקת עדותה של ק' את עדותה של ב.ב, ולמעשה יכולה הייתה אף לשמש לה סיוע, לוּ היה צורך בתוספת ראייתית זו בנסיבות העניין [</w:t>
      </w:r>
      <w:r>
        <w:rPr>
          <w:rFonts w:ascii="David" w:hAnsi="David" w:cs="David"/>
          <w:sz w:val="24"/>
          <w:szCs w:val="24"/>
          <w:rtl/>
        </w:rPr>
        <w:t xml:space="preserve">ע"פ 1326/02 </w:t>
      </w:r>
      <w:r>
        <w:rPr>
          <w:rFonts w:ascii="David" w:hAnsi="David" w:cs="David"/>
          <w:b/>
          <w:bCs/>
          <w:sz w:val="24"/>
          <w:szCs w:val="24"/>
          <w:rtl/>
        </w:rPr>
        <w:t>פלוני נ' מדינת ישראל</w:t>
      </w:r>
      <w:r>
        <w:rPr>
          <w:rFonts w:ascii="David" w:hAnsi="David" w:cs="David"/>
          <w:sz w:val="24"/>
          <w:szCs w:val="24"/>
          <w:rtl/>
        </w:rPr>
        <w:t xml:space="preserve"> (4.4.2002); ע"פ 3948/03 </w:t>
      </w:r>
      <w:r>
        <w:rPr>
          <w:rFonts w:ascii="David" w:hAnsi="David" w:cs="David"/>
          <w:b/>
          <w:bCs/>
          <w:sz w:val="24"/>
          <w:szCs w:val="24"/>
          <w:rtl/>
        </w:rPr>
        <w:t>פלוני נ' מדינת ישראל</w:t>
      </w:r>
      <w:r>
        <w:rPr>
          <w:rFonts w:ascii="David" w:hAnsi="David" w:cs="David"/>
          <w:sz w:val="24"/>
          <w:szCs w:val="24"/>
          <w:rtl/>
        </w:rPr>
        <w:t>, בפסקה 15 לפסק-דינו של השופט ד' חשין (13.11.2006)</w:t>
      </w:r>
      <w:r>
        <w:rPr>
          <w:rFonts w:cs="FrankRuehl"/>
          <w:szCs w:val="28"/>
          <w:rtl/>
        </w:rPr>
        <w:t>]</w:t>
      </w:r>
      <w:r>
        <w:rPr>
          <w:rFonts w:ascii="David" w:eastAsia="Times New Roman" w:hAnsi="David" w:cs="David"/>
          <w:sz w:val="24"/>
          <w:szCs w:val="24"/>
          <w:rtl/>
        </w:rPr>
        <w:t>.</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jc w:val="both"/>
        <w:rPr>
          <w:rFonts w:ascii="David" w:hAnsi="David" w:cs="David"/>
          <w:sz w:val="24"/>
          <w:szCs w:val="24"/>
          <w:rtl/>
        </w:rPr>
      </w:pPr>
      <w:r>
        <w:rPr>
          <w:rFonts w:ascii="David" w:eastAsia="Times New Roman" w:hAnsi="David" w:cs="David"/>
          <w:color w:val="000000"/>
          <w:sz w:val="24"/>
          <w:szCs w:val="24"/>
          <w:u w:val="single"/>
          <w:rtl/>
        </w:rPr>
        <w:t>גרסת הנאשם לאישום השני</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ביום 6.6.2021 נחקר הנאשם במשטרה בחשד לביצוע מעשים מיניים ב-ב.ב (ת/1). בחקירתו טען, באופן שאינו משתמע לשני פנים, כי לא ביצע כל מעשה מגונה ב-ב.ב. לדבריו, את אחיה של ב.ב הוא אוהב כמו את ילדיו שלו, והם פוקדים את ביתו, ולעומת זה אין לו שום קשר לב.ב. כשנשאל איך היה הקשר שלו עמה לפני 6 שנים השיב הנאשם שבאה לביתו </w:t>
      </w:r>
      <w:r>
        <w:rPr>
          <w:rFonts w:ascii="David" w:hAnsi="David" w:cs="David"/>
          <w:b/>
          <w:bCs/>
          <w:sz w:val="24"/>
          <w:szCs w:val="24"/>
          <w:rtl/>
        </w:rPr>
        <w:t>פעם אחת</w:t>
      </w:r>
      <w:r>
        <w:rPr>
          <w:rFonts w:ascii="David" w:hAnsi="David" w:cs="David"/>
          <w:sz w:val="24"/>
          <w:szCs w:val="24"/>
          <w:rtl/>
        </w:rPr>
        <w:t xml:space="preserve"> עם אחיה (ש' 32). הנאשם טען כי ב.ב טופלת עליו אשמת שווא משום שניסה "להתחיל" עם אמה. עוד אמר הנאשם כי יכול להיות שחיבק את ב.ב כשבאה עם אימא שלה, אבל לא בקטע מיני. </w:t>
      </w:r>
    </w:p>
    <w:p w:rsidR="005B163D" w:rsidRDefault="005B163D" w:rsidP="005B163D">
      <w:pPr>
        <w:pStyle w:val="ae"/>
        <w:shd w:val="clear" w:color="auto" w:fill="FFFFFF"/>
        <w:spacing w:after="0" w:line="360" w:lineRule="atLeast"/>
        <w:ind w:left="84"/>
        <w:jc w:val="both"/>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בעדותו טען הנאשם כי עדותה של ב.ב נגדו היא הזיה שהיא מאמינה בה, אך הפעם נאות לאשר ש-ב.ב </w:t>
      </w:r>
      <w:r>
        <w:rPr>
          <w:rFonts w:ascii="Miriam" w:hAnsi="Miriam" w:cs="Miriam"/>
          <w:sz w:val="24"/>
          <w:szCs w:val="24"/>
          <w:rtl/>
        </w:rPr>
        <w:t>"</w:t>
      </w:r>
      <w:r>
        <w:rPr>
          <w:rFonts w:ascii="Miriam" w:hAnsi="Miriam" w:cs="Miriam"/>
          <w:b/>
          <w:bCs/>
          <w:sz w:val="24"/>
          <w:szCs w:val="24"/>
          <w:rtl/>
        </w:rPr>
        <w:t>כל הזמן הגיעה</w:t>
      </w:r>
      <w:r>
        <w:rPr>
          <w:rFonts w:ascii="Miriam" w:hAnsi="Miriam" w:cs="Miriam"/>
          <w:sz w:val="24"/>
          <w:szCs w:val="24"/>
          <w:rtl/>
        </w:rPr>
        <w:t>"</w:t>
      </w:r>
      <w:r>
        <w:rPr>
          <w:rFonts w:ascii="David" w:hAnsi="David" w:cs="David"/>
          <w:sz w:val="24"/>
          <w:szCs w:val="24"/>
          <w:rtl/>
        </w:rPr>
        <w:t xml:space="preserve"> לביתו עם אחיה (עמ' 371 ש' 32 – עמ' 372 ש' 18; עמ' 377 ש' 9), עובדה שאושרה גם בעדות אשת הנאשם (עמ' 416). אף על פי ש-ב.ב פקדה את ביתו רבות, הצהיר הנאשם לא פעם ולא פעמיים כי לא היה לו שום קשר עמה, </w:t>
      </w:r>
      <w:r>
        <w:rPr>
          <w:rFonts w:ascii="Miriam" w:hAnsi="Miriam" w:cs="Miriam"/>
          <w:sz w:val="24"/>
          <w:szCs w:val="24"/>
          <w:rtl/>
        </w:rPr>
        <w:t>"אולי בגלל שהיא בת"</w:t>
      </w:r>
      <w:r>
        <w:rPr>
          <w:rFonts w:ascii="David" w:hAnsi="David" w:cs="David"/>
          <w:sz w:val="24"/>
          <w:szCs w:val="24"/>
          <w:rtl/>
        </w:rPr>
        <w:t xml:space="preserve"> (עמ' 374 ש' 17). </w:t>
      </w:r>
    </w:p>
    <w:p w:rsidR="005B163D" w:rsidRDefault="005B163D" w:rsidP="005B163D">
      <w:pPr>
        <w:pStyle w:val="ae"/>
        <w:rPr>
          <w:rFonts w:ascii="David" w:hAnsi="David" w:cs="David"/>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lastRenderedPageBreak/>
        <w:t>מעניין לציין כי בעדות לפנינו הנאשם לא הכחיש כי חיבק ונישק את ב.ב אך לגרסתו ללא כוונה מינית: "</w:t>
      </w:r>
      <w:r>
        <w:rPr>
          <w:rFonts w:ascii="Miriam" w:hAnsi="Miriam" w:cs="Miriam"/>
          <w:sz w:val="24"/>
          <w:szCs w:val="24"/>
          <w:rtl/>
        </w:rPr>
        <w:t>כמו שעושים לבת</w:t>
      </w:r>
      <w:r>
        <w:rPr>
          <w:rFonts w:ascii="David" w:hAnsi="David" w:cs="David"/>
          <w:sz w:val="24"/>
          <w:szCs w:val="24"/>
          <w:rtl/>
        </w:rPr>
        <w:t>" (עמ' 409 ש' 1), וזאת כמובן בסתירה בולטת לעמדתו כי לא היה לו שום קשר עמה.</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הנאשם אישר שהיו נסיעות משפחתיות לאילת, אך באלה לא קרה דבר ואיך זה אפשרי שאף אחד לא ראה אותו יורד לבד עם הילדים לבריכה? (עמ' 375). ראוי לציין כי תחילה טען הנאשם שהוא כלל לא נהג לרדת לבריכה (עמ' 373), אך בהמשך אישר שהיה בבריכה אבל רק כשכולם כבר היו שם, ואם אשתו לחצה עליו, היה</w:t>
      </w:r>
      <w:r>
        <w:rPr>
          <w:rFonts w:ascii="Miriam" w:hAnsi="Miriam" w:cs="Miriam"/>
          <w:sz w:val="24"/>
          <w:szCs w:val="24"/>
          <w:rtl/>
        </w:rPr>
        <w:t xml:space="preserve"> "יורד עם הילדים קצת לשחק במים" </w:t>
      </w:r>
      <w:r>
        <w:rPr>
          <w:rFonts w:ascii="David" w:hAnsi="David" w:cs="David"/>
          <w:sz w:val="24"/>
          <w:szCs w:val="24"/>
          <w:rtl/>
        </w:rPr>
        <w:t>(עמ' 374 ש' 6-5). ובהמשך, ככל הנראה כאשר הבין שגרסתו אינה שוללת את גרסתה של ב.ב, ניסה הנאשם לשכנענו כי לא ייתכן שפגע ב-ב.ב כי לשם כך צריך היה לעזוב את בתו (עמ' 374, ש' 9-8). בהתחשב בגילה של הבת בעת מעשה (10 שנים) ברור שטענה זו אינה משכנעת.</w:t>
      </w:r>
    </w:p>
    <w:p w:rsidR="005B163D" w:rsidRDefault="005B163D" w:rsidP="005B163D">
      <w:pPr>
        <w:pStyle w:val="ae"/>
        <w:rPr>
          <w:rFonts w:ascii="David" w:hAnsi="David" w:cs="David"/>
          <w:sz w:val="24"/>
          <w:szCs w:val="24"/>
          <w:rtl/>
        </w:rPr>
      </w:pPr>
    </w:p>
    <w:p w:rsidR="005B163D" w:rsidRDefault="005B163D" w:rsidP="005B163D">
      <w:pPr>
        <w:pStyle w:val="ae"/>
        <w:rPr>
          <w:rFonts w:ascii="David" w:hAnsi="David" w:cs="David"/>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לגרסת הנאשם אף אין היתכנות ש-ב.ב הייתה בחדר העבודה בביתו, משום שחדר זה נעול כל הזמן ואיש זולתו אינו פוקד אותו. אשת הנאשם סיפקה בעדותה תמיכה לטענה זו (עמ' 417-416). ברם, עסקינן בגרסה כבושה שהנאשם לא העלה במסגרת חקירתו במשטרה, הגם שהוטח בו כי התרחשו מעשים בחדר העבודה שלו.</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עדותו של הנאשם לפנינו בכל הקשור לאישום השני התאפיינה במסירת תשובות ארוכות ובלתי ענייניות, התחמקות ממתן תשובות לשאלות, מסירת גרסה שאינה עולה בקנה אחד עם דברים שאמר בחקירת המשטרה ובעיקר – ניסיון לשכנע כי המעשים שתוארו לא היו בני ביצוע. כל זאת, במקום לתת תשובות פשוטות וישירות לשאלות שנשאל, בעיקר בחקירתו הנגדית. </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דוגמה מובהקת לנטייתו של הנאשם להתפלפלות והתחמקות מתשובות ישירות, ניתן למצוא בתשובתו לבקשת בא כוחו, במסגרת החקירה הראשית, להתייחס לטענותיה של ב.ב כי פגע בה מינית. במקום להשיב תשובה ישירה, ניסה הנאשם לשכנענו כי עדותה של ב.ב אינה מספיקה על מנת לקבוע שהוא ביצע את מעשה תנועות הבעילה, שכן עיניה היו עצומות (עמ' 376 לפרוטוקול ש' 24-15). </w:t>
      </w:r>
    </w:p>
    <w:p w:rsidR="005B163D" w:rsidRDefault="005B163D" w:rsidP="005B163D">
      <w:pPr>
        <w:pStyle w:val="ae"/>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הנאשם גם ראה לנכון להכפיש את ב.ב ואת אמה, כאשר טען, וחזר וטען, הן בחקירתו במשטרה הן בעדותו לפנינו, כי ב.ב הוכתה בידי בני משפחתה וכל המשפחה הייתה מטופלת ברווחה. כך עשה הנאשם הגם שקשה למצוא קשר בין גרסה זו (שלא נתמכה בראיה חיצונית) לטענת הנאשם כי ב.ב מצאה לטפול עליו אשמת שווא.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גרסתו של הנאשם לעדותה המחזקת של ק' הייתה שאחייניתו זו מעולם לא נכנסה לביתו. לדברי הנאשם, ראה אותה דרך החלון בלבד, ומעבר לברכת שלום ספורדית לא היה ביניהם דבר. הנאשם טען בתוקף שלא החזיק תקליטים בביתו, הגם שמשמש כתקליטן (עמ' 379 וראו עדות אשתו הנוכחית של הנאשם בעמ' 422-421 שישנם כמובן דיסקים בביתו), והביע את הסברה ש-ק' החליטה להעליל עליו מפני שפעם אחת כאשר עבד בגג אצלו קלט דרך החלון את אביה של ק' שוכב עליה על המיטה, ויתכן ש-ק' ראתה אותו.</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לעניין מידת הקרבה בין המשפחות יצוין כי אבי הנאשם וסבה של ק', העיד שכל חג הם באים אליו לארוחות חג משותפות (עמ' 414).</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לסיכום, מצאתי את עדות הנאשם בנוגע לאישום השני מתחמקת ובלתי מהימנה.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jc w:val="both"/>
        <w:rPr>
          <w:rFonts w:ascii="David" w:hAnsi="David" w:cs="David"/>
          <w:b/>
          <w:bCs/>
          <w:sz w:val="24"/>
          <w:szCs w:val="24"/>
          <w:u w:val="single"/>
          <w:rtl/>
        </w:rPr>
      </w:pPr>
      <w:r>
        <w:rPr>
          <w:rFonts w:ascii="David" w:hAnsi="David" w:cs="David"/>
          <w:b/>
          <w:bCs/>
          <w:sz w:val="24"/>
          <w:szCs w:val="24"/>
          <w:u w:val="single"/>
          <w:rtl/>
        </w:rPr>
        <w:t>סיכום – האישום השני</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b/>
          <w:bCs/>
          <w:sz w:val="24"/>
          <w:szCs w:val="24"/>
          <w:rtl/>
        </w:rPr>
        <w:t>על בסיס עדותה המהימנה של ב.ב, אשר חוזקה כאמור לעיל בשלל ראיות חיצוניות אף כי הדבר לא נדרש, ולאחר שנדחתה עדות הנאשם, מוצא אני לקבוע כי הנאשם ביצע את כל אשר יוחס לו באישום השני</w:t>
      </w:r>
      <w:r>
        <w:rPr>
          <w:rFonts w:ascii="David" w:hAnsi="David" w:cs="David"/>
          <w:sz w:val="24"/>
          <w:szCs w:val="24"/>
          <w:rtl/>
        </w:rPr>
        <w:t xml:space="preserve">. </w:t>
      </w:r>
    </w:p>
    <w:p w:rsidR="005B163D" w:rsidRDefault="005B163D" w:rsidP="005B163D">
      <w:pPr>
        <w:pStyle w:val="ae"/>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למען לא יצא הנייר חסר אבהיר כי הנאשם לא עורר ספק בהתקיימות היסוד הנפשי הנלווה לעבירות שביצע. חלקם הארי של המעשים אינם יכולים להתפרש אלא כבעלי כוונה מינית מובהקת, ואילו המעשה המפורט בסעיף 7 לאישום זה (הרמתה של ב.ב מהמיטה בה נחה וחיבוקה), שיכול היה בנסיבות אחרות להיחשב מעשה תמים ושגרתי, "נטען" בכוונה מינית בשל האופן בו נהג הנאשם ב-ב.ב במקרים האחרים שפירטה.</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bidi w:val="0"/>
        <w:rPr>
          <w:rFonts w:ascii="David" w:eastAsiaTheme="minorHAnsi" w:hAnsi="David"/>
          <w:rtl/>
        </w:rPr>
      </w:pPr>
      <w:r>
        <w:rPr>
          <w:rFonts w:ascii="David" w:hAnsi="David"/>
          <w:rtl/>
        </w:rPr>
        <w:br w:type="page"/>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shd w:val="clear" w:color="auto" w:fill="FFFFFF"/>
        <w:spacing w:line="360" w:lineRule="atLeast"/>
        <w:ind w:firstLine="84"/>
        <w:jc w:val="both"/>
        <w:rPr>
          <w:rFonts w:ascii="David" w:hAnsi="David"/>
          <w:b/>
          <w:bCs/>
          <w:color w:val="000000"/>
          <w:sz w:val="26"/>
          <w:szCs w:val="26"/>
          <w:u w:val="single"/>
          <w:rtl/>
        </w:rPr>
      </w:pPr>
      <w:r>
        <w:rPr>
          <w:rFonts w:ascii="David" w:hAnsi="David"/>
          <w:b/>
          <w:bCs/>
          <w:color w:val="000000"/>
          <w:sz w:val="26"/>
          <w:szCs w:val="26"/>
          <w:u w:val="single"/>
          <w:rtl/>
        </w:rPr>
        <w:t>האישום הראשון – מעשים שבוצעו בקטינה בשנת 2020</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אישום זה עניינו מעשים שביצע הנאשם על פי הנטען בקטינה בבית אימה, מ', בעת שהיה במערכת יחסים עם מ' והגיע לעזור לה. </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זה המקום לציין כי בסעיף 3 לאישום הראשון יוחסו המעשים לנאשם באופן כללי, ובסופו נרשם: "</w:t>
      </w:r>
      <w:r>
        <w:rPr>
          <w:rFonts w:ascii="Miriam" w:eastAsia="Times New Roman" w:hAnsi="Miriam" w:cs="Miriam"/>
          <w:color w:val="000000"/>
          <w:sz w:val="24"/>
          <w:szCs w:val="24"/>
          <w:rtl/>
        </w:rPr>
        <w:t>והכל כמפורט לעיל</w:t>
      </w:r>
      <w:r>
        <w:rPr>
          <w:rFonts w:ascii="David" w:eastAsia="Times New Roman" w:hAnsi="David" w:cs="David"/>
          <w:color w:val="000000"/>
          <w:sz w:val="24"/>
          <w:szCs w:val="24"/>
          <w:rtl/>
        </w:rPr>
        <w:t>" (כאשר ברור שהכוונה הייתה "</w:t>
      </w:r>
      <w:r>
        <w:rPr>
          <w:rFonts w:ascii="Miriam" w:eastAsia="Times New Roman" w:hAnsi="Miriam" w:cs="Miriam"/>
          <w:color w:val="000000"/>
          <w:sz w:val="24"/>
          <w:szCs w:val="24"/>
          <w:rtl/>
        </w:rPr>
        <w:t>להלן</w:t>
      </w:r>
      <w:r>
        <w:rPr>
          <w:rFonts w:ascii="David" w:eastAsia="Times New Roman" w:hAnsi="David" w:cs="David"/>
          <w:color w:val="000000"/>
          <w:sz w:val="24"/>
          <w:szCs w:val="24"/>
          <w:rtl/>
        </w:rPr>
        <w:t>"). המעשים עצמם פורטו בסעיפי האישום הבאים. אמנם בסעיף הכללי האמור נטען כי הנאשם ביצע את מעשיו במתלוננת בתדירות של פעם בשבוע, אך לא הובאה לפנינו ראיה שיש ביכולתה להוכיח טענה זו, חוקרת הילדים לא התייחסה אליה וכך גם הצדדים. אתמקד אפוא במעשים הפרטניים שיוחסו לנאשם.</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הקטינה נחקרה על ידי חוקרת ילדים, ועדותה בבית המשפט נאסרה. </w:t>
      </w:r>
    </w:p>
    <w:p w:rsidR="005B163D" w:rsidRDefault="005B163D" w:rsidP="005B163D">
      <w:pPr>
        <w:pStyle w:val="ae"/>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הראיות המרכזיות שהובאו להוכחת האישום הראשון הן, אפוא, אמרות הקטינה לפני חוקרת הילדים (ת/5, ת/7), וכן התרשמויות חוקרת הילדים (ת/6, ת/8). עדות הקטינה טעונה סיוע, בהתאם להוראת סעיף 11 לחוק לתיקון דיני הראיות (הגנת ילדים), התשט"ו-1955.</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ראיות אחרות שהובאו לפנינו ביססו את טיב הקשר בין הנאשם לאם הקטינה וכן את אופן חשיפת הפגיעה בקטינה ומצבה בתקופה הרלוונטית. אלה יפורטו בשלב הראשון:</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
        <w:numPr>
          <w:ilvl w:val="0"/>
          <w:numId w:val="0"/>
        </w:numPr>
        <w:tabs>
          <w:tab w:val="left" w:pos="720"/>
        </w:tabs>
        <w:spacing w:after="0"/>
        <w:ind w:left="720" w:hanging="636"/>
        <w:rPr>
          <w:u w:val="single"/>
          <w:rtl/>
        </w:rPr>
      </w:pPr>
      <w:r>
        <w:rPr>
          <w:rFonts w:hint="cs"/>
          <w:u w:val="single"/>
          <w:rtl/>
        </w:rPr>
        <w:t xml:space="preserve">מערכת היחסים בין הנאשם ל-מ' </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אם הקטינה, מ', הייתה גרושה ואם לשני בנים כאשר ניהלה לסירוגין מערכת יחסים שכללה יחסי אישות עם הנאשם (עמ' 261 ש' 13-12), בעת שהיה נשוי לאשתו הנוכחית. באחת התקופות בהן קיימו קשר כאמור אף חתמו השניים על הסכם זוגיות, לפיו על הנאשם לשלם ל-מ' סכומי כסף אם ייפרדו (עמ' 287 ש' 28-16).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מ' אישרה כי לפי ההסכם היה על הנאשם לשלם לה, בעודם מנהלים קשר זוגי, עבור חופשות, שכן הנאשם יוצא לחופשות ומבלה עם אשתו בעוד היא נשארת לבדה (עמ' 289 ש' 17 – עמ' 289 ש' 5). </w:t>
      </w:r>
    </w:p>
    <w:p w:rsidR="005B163D" w:rsidRDefault="005B163D" w:rsidP="005B163D">
      <w:pPr>
        <w:pStyle w:val="ae"/>
        <w:shd w:val="clear" w:color="auto" w:fill="FFFFFF"/>
        <w:spacing w:after="0" w:line="360" w:lineRule="atLeast"/>
        <w:ind w:left="84"/>
        <w:jc w:val="both"/>
        <w:rPr>
          <w:rFonts w:ascii="David" w:hAnsi="David" w:cs="David"/>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כל זאת בטרם נישאה מ' לאביה של הקטינה ובטרם נולדה הקטינה. </w:t>
      </w:r>
    </w:p>
    <w:p w:rsidR="005B163D" w:rsidRDefault="005B163D" w:rsidP="005B163D">
      <w:pPr>
        <w:pStyle w:val="ae"/>
        <w:shd w:val="clear" w:color="auto" w:fill="FFFFFF"/>
        <w:spacing w:after="0" w:line="360" w:lineRule="atLeast"/>
        <w:ind w:left="84"/>
        <w:jc w:val="both"/>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hAnsi="David" w:cs="David"/>
          <w:sz w:val="24"/>
          <w:szCs w:val="24"/>
          <w:rtl/>
        </w:rPr>
        <w:lastRenderedPageBreak/>
        <w:t xml:space="preserve">כשהייתה הקטינה ילדה פעוטה התגרשו הוריה, אולם הם שבו והיו בקשר. כשהייתה הקטינה כבת 8 עזב אביה את הבית, והיא חוותה קשיים בשל כך (עמ' 283, ש' 26-24). אף לא התקיימו זמני שהות סדירים עם אביה (עמ' 317, ש' 12-9). </w:t>
      </w:r>
    </w:p>
    <w:p w:rsidR="005B163D" w:rsidRDefault="005B163D" w:rsidP="005B163D">
      <w:pPr>
        <w:pStyle w:val="ae"/>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בדצמבר 2019, מספר שבועות לאחר שהאב עזב את הבית, חודש הקשר בין הנאשם ל-מ'</w:t>
      </w:r>
      <w:r>
        <w:rPr>
          <w:rFonts w:ascii="David" w:eastAsia="Times New Roman" w:hAnsi="David" w:cs="David"/>
          <w:color w:val="000000"/>
          <w:sz w:val="24"/>
          <w:szCs w:val="24"/>
          <w:rtl/>
        </w:rPr>
        <w:t xml:space="preserve">. </w:t>
      </w:r>
      <w:r>
        <w:rPr>
          <w:rFonts w:ascii="David" w:hAnsi="David" w:cs="David"/>
          <w:sz w:val="24"/>
          <w:szCs w:val="24"/>
          <w:rtl/>
        </w:rPr>
        <w:t xml:space="preserve">הנאשם עזר ל-מ' במעבר לדירה אחרת. הוא נהג להגיע מספר פעמים בשבוע לביתה של מ', שמר על הקטינה (עמ' 263 ש' 15-14), צבע את הדירה, הרכיב ארון, הביא אוכל מהשוק או מאולם האירועים בו עבד וכן נתן למ' סכומי כסף קטנים, כ-200 ₪, באופן לא קבוע (עמ'  286 ש' 27-23). </w:t>
      </w:r>
    </w:p>
    <w:p w:rsidR="005B163D" w:rsidRDefault="005B163D" w:rsidP="005B163D">
      <w:pPr>
        <w:shd w:val="clear" w:color="auto" w:fill="FFFFFF"/>
        <w:spacing w:line="360" w:lineRule="atLeast"/>
        <w:ind w:left="84"/>
        <w:jc w:val="both"/>
        <w:rPr>
          <w:rFonts w:ascii="David" w:hAnsi="David"/>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גם הסבתא, שהעידה כי היא מכירה את הנאשם וכבר 15 שנה והוא כמו בן בית, תיארה כי הנאשם עזר ל-מ', סידר את הבית ותלה כביסה.</w:t>
      </w:r>
    </w:p>
    <w:p w:rsidR="005B163D" w:rsidRDefault="005B163D" w:rsidP="005B163D">
      <w:pPr>
        <w:pStyle w:val="ae"/>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כפי שיפורט להלן, הנאשם עצמו אישר את טיב הקשר עם מ', לרבות ההסכם שלפיו עליו לשלם לה סכומי כסף אם ייפרדו, אך ניסה לשוות לקשר המאוחר ביניהם אופי של עזרה חד-כיוונית מצדו, הא ותוּ לא. </w:t>
      </w:r>
    </w:p>
    <w:p w:rsidR="005B163D" w:rsidRDefault="005B163D" w:rsidP="005B163D">
      <w:pPr>
        <w:pStyle w:val="ae"/>
        <w:rPr>
          <w:rFonts w:ascii="David" w:hAnsi="David" w:cs="David"/>
          <w:sz w:val="24"/>
          <w:szCs w:val="24"/>
          <w:rtl/>
        </w:rPr>
      </w:pPr>
    </w:p>
    <w:p w:rsidR="005B163D" w:rsidRDefault="005B163D" w:rsidP="005B163D">
      <w:pPr>
        <w:pStyle w:val="a"/>
        <w:numPr>
          <w:ilvl w:val="0"/>
          <w:numId w:val="0"/>
        </w:numPr>
        <w:tabs>
          <w:tab w:val="left" w:pos="720"/>
        </w:tabs>
        <w:spacing w:after="0"/>
        <w:ind w:left="720" w:hanging="636"/>
        <w:rPr>
          <w:u w:val="single"/>
        </w:rPr>
      </w:pPr>
      <w:r>
        <w:rPr>
          <w:rFonts w:hint="cs"/>
          <w:u w:val="single"/>
          <w:rtl/>
        </w:rPr>
        <w:t>מצבה של הקטינה בתקופה בה בוצעו המעשים ובעת חשיפת הפגיעה</w:t>
      </w: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מ' העידה כי בתחילת תקופת הקורונה (ראשית שנת 2020) ירדה הקטינה במשקל וסבלה מהפסקות דיבור, הקאות וחרדות לילה (עמ' 245). כך גם סיפר אבי הקטינה (עמ' 316 ש' 32-30). הקטינה החלה לגמגם ובלילות הייתה משתנקת, אומרת שאין לה אויר ומקיאה. בין לבין אמרה הקטינה שלא רוצה שהנאשם יבוא אליהם הביתה (עמ' 245 ש' 15-14).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מ' ניסתה לדובב את הקטינה ללא הצלחה ולכן ביקשה מאימה (הסבתא) שתשוחח עמה. הסבתא הגיעה והסתגרה עם הקטינה בחדר, ואז יצאה ואמרה ל-מ' שהקטינה מספרת שהנאשם הטריד אותה ונגע בה.  </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הסבתא אימתה בעדותה את גרסת אם הקטינה. היא סיפרה כי הקטינה בכתה, הסבתא חיבקה אותה ולאחר דיבוב אמרה שהנאשם פגע בה, לא באופן מילולי. הוריד לה את התחתונים (עמ' 233), וניסה לגעת בה אבל היא לא הסכימה (עמ' 241). הטריד אותה ונגע בה. עשה לה דברים מאוד לא יפים ולא נעימים (עמ' 234). בשלב זה עצרה הסבתא את השיחה, הודיעה לאם הקטינה שצריך לפנות לעזרה מקצועית ולעדכן את אבי הקטינה.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r>
        <w:rPr>
          <w:rFonts w:ascii="David" w:eastAsia="Times New Roman" w:hAnsi="David" w:cs="David"/>
          <w:color w:val="000000"/>
          <w:sz w:val="24"/>
          <w:szCs w:val="24"/>
          <w:rtl/>
        </w:rPr>
        <w:t>בנוסף העידה הסבתא שברגע החשיפה הקטינה הייתה נסערת ובוכה (עמ' 242).</w:t>
      </w:r>
    </w:p>
    <w:p w:rsidR="005B163D" w:rsidRDefault="005B163D" w:rsidP="005B163D">
      <w:pPr>
        <w:pStyle w:val="ae"/>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מ' קיבלה דיווח מהסבתא ומיד התקשרה לאבי הקטינה ואח"כ לרווחה. היא התקשרה גם לנאשם וכעסה עליו, ומאותו רגע הנאשם לא הגיע יותר לביתה. לגרסת האם, קשר טלפוני עם הנאשם נמשך עוד שנה ומחצה, ובמהלכו הציע לה הנאשם כסף לצורך טיפול בקטינה.</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ברווחה המליצו ל-מ' על טיפול רגשי לקטינה במרכז מיטל המטפל בילדים שעברו פגיעות מיניות. הקטינה החלה בטיפול אך מצבה הנפשי של מ' בעצמו התדרדר עד כדי ניסיונות התאבדות, על פי עדותה של מ' בשל כך שהיא עצמה עברה אונס כמה פעמים כילדה בתוך המשפחה וחשיפת המעשים בקטינה הציפה אותה רגשית. הטיפול בקטינה פסק בשל כך (עמ' 308, ש' 15-8), ומשום שאבי הקטינה לא שיתף פעולה עם הטיפול (עמ' 309, ש' 14-9).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Pr>
      </w:pP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עו"ס שחר פלג שטיפלה בקטינה מחודש נובמבר 2020 במסגרת מרכז מיטל מסרה כי הקטינה תיארה בטיפול מצבי חרדה, שמיעת קולות, חשש מגברים מבוגרים, התקפי זעם ופחד להיות רחוקה מאמה (ת/14).  </w:t>
      </w:r>
    </w:p>
    <w:p w:rsidR="005B163D" w:rsidRDefault="005B163D" w:rsidP="005B163D">
      <w:pPr>
        <w:pStyle w:val="ae"/>
        <w:shd w:val="clear" w:color="auto" w:fill="FFFFFF"/>
        <w:spacing w:after="0" w:line="360" w:lineRule="atLeast"/>
        <w:ind w:left="84" w:firstLine="636"/>
        <w:jc w:val="both"/>
        <w:rPr>
          <w:rFonts w:ascii="David" w:eastAsia="Times New Roman" w:hAnsi="David" w:cs="David"/>
          <w:color w:val="000000"/>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eastAsia="Times New Roman" w:hAnsi="David" w:cs="David"/>
          <w:color w:val="000000"/>
          <w:sz w:val="24"/>
          <w:szCs w:val="24"/>
        </w:rPr>
      </w:pPr>
      <w:r>
        <w:rPr>
          <w:rFonts w:ascii="David" w:eastAsia="Times New Roman" w:hAnsi="David" w:cs="David"/>
          <w:color w:val="000000"/>
          <w:sz w:val="24"/>
          <w:szCs w:val="24"/>
          <w:rtl/>
        </w:rPr>
        <w:t>באוקטובר 2022 נישאה אמה של הקטינה בשנית לאדם לו הייתה נשואה בעבר, ולקראת מעבר לבית חדש רשמה את הקטינה לבית ספר חדש. מ' סיפרה לצוות בית הספר שהקטינה עברה פגיעה מינית ומשם הפנו אותה לבית לין והוגשה נגד הנאשם תלונה במשטרה (עמ' 312 ש' 13-3). מ' העידה כי שינתה את שמו של הנאשם ברשימת אנשי הקשר בטלפון, כי הקטינה הייתה "</w:t>
      </w:r>
      <w:r>
        <w:rPr>
          <w:rFonts w:ascii="Miriam" w:eastAsia="Times New Roman" w:hAnsi="Miriam" w:cs="Miriam"/>
          <w:color w:val="000000"/>
          <w:sz w:val="24"/>
          <w:szCs w:val="24"/>
          <w:rtl/>
        </w:rPr>
        <w:t>נכנסת לחרדות"</w:t>
      </w:r>
      <w:r>
        <w:rPr>
          <w:rFonts w:ascii="David" w:eastAsia="Times New Roman" w:hAnsi="David" w:cs="David"/>
          <w:color w:val="000000"/>
          <w:sz w:val="24"/>
          <w:szCs w:val="24"/>
          <w:rtl/>
        </w:rPr>
        <w:t xml:space="preserve"> כשראתה את שמו על הצג (עמ' 279 ש' 26-20).</w:t>
      </w: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rtl/>
        </w:rPr>
      </w:pPr>
    </w:p>
    <w:p w:rsidR="005B163D" w:rsidRDefault="005B163D" w:rsidP="005B163D">
      <w:pPr>
        <w:pStyle w:val="ae"/>
        <w:shd w:val="clear" w:color="auto" w:fill="FFFFFF"/>
        <w:spacing w:after="0" w:line="360" w:lineRule="atLeast"/>
        <w:ind w:left="84"/>
        <w:jc w:val="both"/>
        <w:rPr>
          <w:rFonts w:ascii="David" w:eastAsia="Times New Roman" w:hAnsi="David" w:cs="David"/>
          <w:color w:val="000000"/>
          <w:sz w:val="24"/>
          <w:szCs w:val="24"/>
          <w:u w:val="single"/>
        </w:rPr>
      </w:pPr>
      <w:r>
        <w:rPr>
          <w:rFonts w:ascii="David" w:eastAsia="Times New Roman" w:hAnsi="David" w:cs="David"/>
          <w:color w:val="000000"/>
          <w:sz w:val="24"/>
          <w:szCs w:val="24"/>
          <w:u w:val="single"/>
          <w:rtl/>
        </w:rPr>
        <w:t>עדות הקטינה לפני חוקרת הילדים</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הקטינה נחקרה פעמיים בידי חוקרת הילדים לירון רמלר, ביום 12.10.2001 (ת/5, ת/5א) וביום 17.10.2021 (ת/7, ת/7א).</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חוקרת הילדים העידה לפנינו אודות החקירות. הקטינה הגיעה לחקירה הראשונה בבית לין בליווי שני הוריה. היה לה קושי להרחיב על התכנים המיניים שחוותה, ולכן יזמה החוקרת חקירה שניה, אליה הגיעה הקטינה בליווי אמה. בחקירה השנייה הייתה הקטינה יותר נינוחה ושיתפה פעולה, אבל עדיין גילתה קושי לדבר על הפגיעה והתכנים המיניים. </w:t>
      </w:r>
    </w:p>
    <w:p w:rsidR="005B163D" w:rsidRDefault="005B163D" w:rsidP="005B163D">
      <w:pPr>
        <w:pStyle w:val="ae"/>
        <w:shd w:val="clear" w:color="auto" w:fill="FFFFFF"/>
        <w:spacing w:after="0" w:line="360" w:lineRule="atLeast"/>
        <w:ind w:left="84"/>
        <w:jc w:val="both"/>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חוקרת הילדים פעלה בחקירת הקטינה בהתאם ל</w:t>
      </w:r>
      <w:r>
        <w:rPr>
          <w:rFonts w:ascii="Miriam" w:hAnsi="Miriam" w:cs="Miriam"/>
          <w:sz w:val="24"/>
          <w:szCs w:val="24"/>
          <w:rtl/>
        </w:rPr>
        <w:t xml:space="preserve">"מדריך לחקירת ילדים וכלים להערכת מהימנות" </w:t>
      </w:r>
      <w:r>
        <w:rPr>
          <w:rFonts w:ascii="David" w:hAnsi="David" w:cs="David"/>
          <w:sz w:val="24"/>
          <w:szCs w:val="24"/>
          <w:rtl/>
        </w:rPr>
        <w:t>(ת/12), שההגנה לא כפרה בעקרונותיו. כנדרש ממנה ערכה העדה לכל אחת מן החקירות  טופסי סיכום חקירת ילדים, הכוללים התרשמות לגבי מהימנות הקטינה (ת/6, ת/8), ובנוסף הכינה טבלת מראי מקום להערכתה את מהימנות עדות הקטינה (ת/13).</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חוקרת הילדים </w:t>
      </w:r>
      <w:r>
        <w:rPr>
          <w:rFonts w:ascii="David" w:hAnsi="David" w:cs="David"/>
          <w:sz w:val="24"/>
          <w:szCs w:val="24"/>
          <w:u w:val="single"/>
          <w:rtl/>
        </w:rPr>
        <w:t>קבעה מהימנות לגבי שני אירועים המפורטים בכתב האישום</w:t>
      </w:r>
      <w:r>
        <w:rPr>
          <w:rFonts w:ascii="David" w:hAnsi="David" w:cs="David"/>
          <w:sz w:val="24"/>
          <w:szCs w:val="24"/>
          <w:rtl/>
        </w:rPr>
        <w:t xml:space="preserve">: אירוע הכנסת היד ונגיעות באיבר המין בעת שהקטינה צפתה בטלוויזיה (סעיפים 4 ו-5 לאישום הראשון; להלן: </w:t>
      </w:r>
      <w:r>
        <w:rPr>
          <w:rFonts w:ascii="Miriam" w:hAnsi="Miriam" w:cs="Miriam"/>
          <w:b/>
          <w:bCs/>
          <w:sz w:val="24"/>
          <w:szCs w:val="24"/>
          <w:rtl/>
        </w:rPr>
        <w:t>אירוע הטלוויזיה</w:t>
      </w:r>
      <w:r>
        <w:rPr>
          <w:rFonts w:ascii="David" w:hAnsi="David" w:cs="David"/>
          <w:sz w:val="24"/>
          <w:szCs w:val="24"/>
          <w:rtl/>
        </w:rPr>
        <w:t xml:space="preserve">) ואירוע משחק הקופסה שבמהלכו פשט הנאשם את מכנסיו (סעיפים 11-9 לאישום הראשון; להלן: </w:t>
      </w:r>
      <w:r>
        <w:rPr>
          <w:rFonts w:ascii="Miriam" w:hAnsi="Miriam" w:cs="Miriam"/>
          <w:b/>
          <w:bCs/>
          <w:sz w:val="24"/>
          <w:szCs w:val="24"/>
          <w:rtl/>
        </w:rPr>
        <w:t>אירוע משחק הקופסה</w:t>
      </w:r>
      <w:r>
        <w:rPr>
          <w:rFonts w:ascii="David" w:hAnsi="David" w:cs="David"/>
          <w:sz w:val="24"/>
          <w:szCs w:val="24"/>
          <w:rtl/>
        </w:rPr>
        <w:t xml:space="preserve">).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היא הסבירה בעדותה באופן בהיר ומשכנע כיצד התמלאו ביחס לאירועים אלה כל הקריטריונים המוכרים בהערכת מהימנות קטינים נפגעי עבירה: ניתוח איכות ראיון, תיאור פרטים מהותיים לצד שוליים, דיבור שאינו מובנה, פרטים שוליים סנסוריים, פרטים ייחודיים ואותנטיים, עיגון בנסיבות זמן מקום, ציטוטים, הדגמות, התייחסות למחשבות ולתחושות, דינמיקה של קורבן ושל פוגע, מחויבות לדיוק, חוסר הגזמה ואי-ניצול הזדמנויות להעצים את חומרת האירוע.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כך, למשל, בת/5 עמ' 4 משורה 20 ניתן לראות דוגמה ל</w:t>
      </w:r>
      <w:r>
        <w:rPr>
          <w:rFonts w:ascii="David" w:hAnsi="David" w:cs="David"/>
          <w:b/>
          <w:bCs/>
          <w:sz w:val="24"/>
          <w:szCs w:val="24"/>
          <w:rtl/>
        </w:rPr>
        <w:t>דיבור שאינו מובנה</w:t>
      </w:r>
      <w:r>
        <w:rPr>
          <w:rFonts w:ascii="David" w:hAnsi="David" w:cs="David"/>
          <w:sz w:val="24"/>
          <w:szCs w:val="24"/>
          <w:rtl/>
        </w:rPr>
        <w:t xml:space="preserve"> (עמ' 167 לפרוטוקול); בת/5 עמ' 5 שורה 10 מודגמים </w:t>
      </w:r>
      <w:r>
        <w:rPr>
          <w:rFonts w:ascii="David" w:hAnsi="David" w:cs="David"/>
          <w:b/>
          <w:bCs/>
          <w:sz w:val="24"/>
          <w:szCs w:val="24"/>
          <w:rtl/>
        </w:rPr>
        <w:t>פרטים שוליים</w:t>
      </w:r>
      <w:r>
        <w:rPr>
          <w:rFonts w:ascii="David" w:hAnsi="David" w:cs="David"/>
          <w:sz w:val="24"/>
          <w:szCs w:val="24"/>
          <w:rtl/>
        </w:rPr>
        <w:t xml:space="preserve"> (עמ' 168 לפרוטוקול); בת/5 עמ' 11 שורה 14-13 מודגמים </w:t>
      </w:r>
      <w:r>
        <w:rPr>
          <w:rFonts w:ascii="David" w:hAnsi="David" w:cs="David"/>
          <w:b/>
          <w:bCs/>
          <w:sz w:val="24"/>
          <w:szCs w:val="24"/>
          <w:rtl/>
        </w:rPr>
        <w:t>פרט סנסורי ומחויבות לדיוק</w:t>
      </w:r>
      <w:r>
        <w:rPr>
          <w:rFonts w:ascii="David" w:hAnsi="David" w:cs="David"/>
          <w:sz w:val="24"/>
          <w:szCs w:val="24"/>
          <w:rtl/>
        </w:rPr>
        <w:t xml:space="preserve"> (עמ' 168 ש' 29 ואילך); בת/7 עמ' 7 ששורה 34-33 – </w:t>
      </w:r>
      <w:r>
        <w:rPr>
          <w:rFonts w:ascii="David" w:hAnsi="David" w:cs="David"/>
          <w:b/>
          <w:bCs/>
          <w:sz w:val="24"/>
          <w:szCs w:val="24"/>
          <w:rtl/>
        </w:rPr>
        <w:t>פרט ייחודי, שמעוגן בנסיבות, זמן ובמקום</w:t>
      </w:r>
      <w:r>
        <w:rPr>
          <w:rFonts w:ascii="David" w:hAnsi="David" w:cs="David"/>
          <w:sz w:val="24"/>
          <w:szCs w:val="24"/>
          <w:rtl/>
        </w:rPr>
        <w:t xml:space="preserve"> (עמ' 169); ת/5 עמ' 19 ש' 13 – </w:t>
      </w:r>
      <w:r>
        <w:rPr>
          <w:rFonts w:ascii="David" w:hAnsi="David" w:cs="David"/>
          <w:b/>
          <w:bCs/>
          <w:sz w:val="24"/>
          <w:szCs w:val="24"/>
          <w:rtl/>
        </w:rPr>
        <w:t>ציטוטים</w:t>
      </w:r>
      <w:r>
        <w:rPr>
          <w:rFonts w:ascii="David" w:hAnsi="David" w:cs="David"/>
          <w:sz w:val="24"/>
          <w:szCs w:val="24"/>
          <w:rtl/>
        </w:rPr>
        <w:t xml:space="preserve"> (עמ' 168); ת/7 עמ' 10 ש' 6-1, ת/5 עמ' 10 ש' 6-4 וש' 22-20, ת/7 עמ' 7 ש' 34-32 – </w:t>
      </w:r>
      <w:r>
        <w:rPr>
          <w:rFonts w:ascii="David" w:hAnsi="David" w:cs="David"/>
          <w:b/>
          <w:bCs/>
          <w:sz w:val="24"/>
          <w:szCs w:val="24"/>
          <w:rtl/>
        </w:rPr>
        <w:t>הדגמות</w:t>
      </w:r>
      <w:r>
        <w:rPr>
          <w:rFonts w:ascii="David" w:hAnsi="David" w:cs="David"/>
          <w:sz w:val="24"/>
          <w:szCs w:val="24"/>
          <w:rtl/>
        </w:rPr>
        <w:t>; ועוד ועוד.</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במהלך עדותה של חוקרת הילדים הוקרנו לנו קטעים מחקירות הקטינה (למשל בעמ' 176). בחקירות במלואן צפיתי גם אני. עדות הקטינה הגיונית, רציפה ומשכנעת. היא אכן עונה על כל הפרמטרים המוכרים לצורך הערכת מהימנות ילדים נפגעי עבירה. ניכר כי העדות היא על מעשים שהקטינה חוותה בעצמה. לא ניכר בתיאורה שמץ של הפרזה או הגזמה.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ראוי לציון קטע מהחקירה הראשונה בו תיארה הקטינה את אירוע הטלוויזיה, במסגרתו נתבקשה להסביר מה בדיוק עשה לה הנאשם עם האצבע. הקטינה הסבירה כיצד הנאשם החדיר לה אצבע באופן הבא: </w:t>
      </w:r>
      <w:r>
        <w:rPr>
          <w:rFonts w:ascii="Miriam" w:hAnsi="Miriam" w:cs="Miriam"/>
          <w:sz w:val="24"/>
          <w:szCs w:val="24"/>
          <w:rtl/>
        </w:rPr>
        <w:t>"הרגשתי אצבע ממש בפות, כאילו הרגשתי אצבע ממש עמוק"</w:t>
      </w:r>
      <w:r>
        <w:rPr>
          <w:rFonts w:ascii="David" w:hAnsi="David" w:cs="David"/>
          <w:sz w:val="24"/>
          <w:szCs w:val="24"/>
          <w:rtl/>
        </w:rPr>
        <w:t xml:space="preserve">, וליוותה הסבר זה בהדגמה שאינה משתמעת לשתי פנים (ת/5 עמ' 11; ת/5א, נומרטור 29:50). </w:t>
      </w:r>
      <w:r>
        <w:rPr>
          <w:rFonts w:ascii="David" w:hAnsi="David" w:cs="David"/>
          <w:b/>
          <w:bCs/>
          <w:sz w:val="24"/>
          <w:szCs w:val="24"/>
          <w:rtl/>
        </w:rPr>
        <w:t>הקטינה תיארה בבירור החדרת אצבע לתוך איבר המין</w:t>
      </w:r>
      <w:r>
        <w:rPr>
          <w:rFonts w:ascii="David" w:hAnsi="David" w:cs="David"/>
          <w:sz w:val="24"/>
          <w:szCs w:val="24"/>
          <w:rtl/>
        </w:rPr>
        <w:t xml:space="preserve">. לשאלתנו השיבה חוקרת הילדים כי אין לה כל סיבה לפקפק במהימנות גרסה זו שמסרה הקטינה (עמ' 177-176).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בהגינותה הרבה לא בקשה המאשימה לתקן את כתב האישום ולייחס לנאשם עבירה של אינוס בגין מעשה זה.</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 חוקרת הילדים </w:t>
      </w:r>
      <w:r>
        <w:rPr>
          <w:rFonts w:ascii="David" w:hAnsi="David" w:cs="David"/>
          <w:sz w:val="24"/>
          <w:szCs w:val="24"/>
          <w:u w:val="single"/>
          <w:rtl/>
        </w:rPr>
        <w:t>לא קבעה מהימנות לגבי העובדות המפורטות בשלושה סעיפים באישום הראשון</w:t>
      </w:r>
      <w:r>
        <w:rPr>
          <w:rFonts w:ascii="David" w:hAnsi="David" w:cs="David"/>
          <w:sz w:val="24"/>
          <w:szCs w:val="24"/>
          <w:rtl/>
        </w:rPr>
        <w:t>: סעיף 7 (</w:t>
      </w:r>
      <w:r>
        <w:rPr>
          <w:rFonts w:ascii="David" w:hAnsi="David" w:cs="David"/>
          <w:b/>
          <w:bCs/>
          <w:sz w:val="24"/>
          <w:szCs w:val="24"/>
          <w:rtl/>
        </w:rPr>
        <w:t>ארבעה אירועי נגיעה באיבר המין בחדרה של הקטינה</w:t>
      </w:r>
      <w:r>
        <w:rPr>
          <w:rFonts w:ascii="David" w:hAnsi="David" w:cs="David"/>
          <w:sz w:val="24"/>
          <w:szCs w:val="24"/>
          <w:rtl/>
        </w:rPr>
        <w:t>), סעיף 8 (</w:t>
      </w:r>
      <w:r>
        <w:rPr>
          <w:rFonts w:ascii="David" w:hAnsi="David" w:cs="David"/>
          <w:b/>
          <w:bCs/>
          <w:sz w:val="24"/>
          <w:szCs w:val="24"/>
          <w:rtl/>
        </w:rPr>
        <w:t>בקשת הנאשם כי הקטינה תשב עליו בזמן שקראה ספר</w:t>
      </w:r>
      <w:r>
        <w:rPr>
          <w:rFonts w:ascii="David" w:hAnsi="David" w:cs="David"/>
          <w:sz w:val="24"/>
          <w:szCs w:val="24"/>
          <w:rtl/>
        </w:rPr>
        <w:t>) וסעיף 12 (נשיקה על השפתיים).</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כך עשתה חוקרת הילדים רק משום שלא מצאה שאלה פורטו דיים בעדויות הקטינה (בהיבט מהות הפגיעה והשתלשלות האירועים), למרות שבכל אחד מהם התקיימו רבים מהקריטריונים המקצועיים המבססים מהימנות (ת/8 סעיף 7; עמ' 179). בעדותה לפנינו הוסיפה חוקרת הילדים כי התרשמה שהקטינה התבלבלה בשלב מסוים בין האירועים (עמ' 185), ולמעשה קפצה לאירוע אחר (עמ' 191). בחקירה הנגדית הבהירה חוקרת הילדים כי, הלכה למעשה, בשל דלות התוכן הנמסר לא קבעה מהימנות </w:t>
      </w:r>
      <w:r>
        <w:rPr>
          <w:rFonts w:ascii="David" w:hAnsi="David" w:cs="David"/>
          <w:sz w:val="24"/>
          <w:szCs w:val="24"/>
          <w:u w:val="single"/>
          <w:rtl/>
        </w:rPr>
        <w:t>מלאה</w:t>
      </w:r>
      <w:r>
        <w:rPr>
          <w:rFonts w:ascii="David" w:hAnsi="David" w:cs="David"/>
          <w:sz w:val="24"/>
          <w:szCs w:val="24"/>
          <w:rtl/>
        </w:rPr>
        <w:t xml:space="preserve"> לאירועים אלה, למרות התרשמותה כי הקטינה תיארה את הדברים מתוך חוויה אישית (עמ' 198 ש' 4-1).</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כאמור, צפיתי בעדויות המצולמות של הקטינה, שהייתה כבת 9 בעת החקירה, בשלמותן. התרשמותי הייתה כהתרשמותה של חוקרת הילדים: הקטינה תיארה את המעשים שביצע בה הנאשם מתוך חוויה אישית. התרשמתי גם מכנותה ומתמימותה הרבה.</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כפי שקבע בית המשפט העליון לא אחת, אין לצפות מקורבן עבירת מין, כל שכן קטין רך בשנים, למסור עדות סדורה ועקבית אודות המעשים שחווה. על בית המשפט לאתר את הגרעין הקשה של המעשים ולבחון האם הוכח מעבר לספק סביר:</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Ruller4"/>
        <w:numPr>
          <w:ilvl w:val="0"/>
          <w:numId w:val="0"/>
        </w:numPr>
        <w:ind w:left="720" w:right="567"/>
        <w:rPr>
          <w:rFonts w:ascii="Century" w:hAnsi="Century"/>
          <w:sz w:val="22"/>
          <w:rtl/>
        </w:rPr>
      </w:pPr>
      <w:r>
        <w:rPr>
          <w:rFonts w:ascii="Arial TUR" w:hAnsi="Arial TUR"/>
          <w:rtl/>
        </w:rPr>
        <w:t>"...</w:t>
      </w:r>
      <w:r>
        <w:rPr>
          <w:rFonts w:ascii="Arial TUR" w:hAnsi="Arial TUR"/>
          <w:sz w:val="22"/>
          <w:rtl/>
        </w:rPr>
        <w:t xml:space="preserve"> אחזור על מושכלות ראשונים, לפיהן אין לצפות מקורבן לעבירות מין למסור עדות אודות המעשים הקשים שחווה, באופן קוהרנטי, עקבי וסדור. אפשר גם כי בעדותו של הקורבן יתגלו פרכות, סתירות, בלבול וחוסר דיוק, ואולם אין במאפיינים אלו, כשלעצמם, כדי להטיל ספק, בהכרח, במהימנות גרסתו של הקורבן, כל עוד </w:t>
      </w:r>
      <w:r>
        <w:rPr>
          <w:rFonts w:ascii="Century" w:hAnsi="Century" w:cs="Miriam"/>
          <w:b/>
          <w:sz w:val="22"/>
          <w:rtl/>
        </w:rPr>
        <w:t xml:space="preserve">"הגרעין הקשה של האירועים והתמונה הכוללת המתקבלת מן העדות והחיזוקים לה מאפשרים מסקנה בדבר אשמת הנאשם מעבר לכל ספק סביר" </w:t>
      </w:r>
      <w:r>
        <w:rPr>
          <w:rFonts w:ascii="Arial TUR" w:hAnsi="Arial TUR"/>
          <w:sz w:val="22"/>
          <w:rtl/>
        </w:rPr>
        <w:t xml:space="preserve">(ע"פ 993/00 </w:t>
      </w:r>
      <w:r>
        <w:rPr>
          <w:rFonts w:ascii="Arial TUR" w:hAnsi="Arial TUR"/>
          <w:b/>
          <w:bCs/>
          <w:sz w:val="22"/>
          <w:rtl/>
        </w:rPr>
        <w:t>נור נ' מדינת ישראל</w:t>
      </w:r>
      <w:r>
        <w:rPr>
          <w:rFonts w:ascii="Arial TUR" w:hAnsi="Arial TUR"/>
          <w:sz w:val="22"/>
          <w:rtl/>
        </w:rPr>
        <w:t xml:space="preserve">, פ"ד נו(6) 205, 223 (2002); וראו גם </w:t>
      </w:r>
      <w:r>
        <w:rPr>
          <w:rFonts w:ascii="Century" w:hAnsi="Century" w:cs="Miriam"/>
          <w:b/>
          <w:sz w:val="22"/>
          <w:rtl/>
        </w:rPr>
        <w:t>עניין סץ</w:t>
      </w:r>
      <w:r>
        <w:rPr>
          <w:rFonts w:ascii="Century" w:hAnsi="Century"/>
          <w:sz w:val="22"/>
          <w:rtl/>
        </w:rPr>
        <w:t>, פסקה 26;</w:t>
      </w:r>
      <w:r>
        <w:rPr>
          <w:rFonts w:ascii="Century" w:hAnsi="Century" w:cs="Miriam"/>
          <w:b/>
          <w:sz w:val="22"/>
          <w:rtl/>
        </w:rPr>
        <w:t xml:space="preserve"> </w:t>
      </w:r>
      <w:r>
        <w:rPr>
          <w:rFonts w:ascii="Arial TUR" w:hAnsi="Arial TUR"/>
          <w:sz w:val="22"/>
          <w:rtl/>
        </w:rPr>
        <w:t xml:space="preserve">ע"פ 1473/12 </w:t>
      </w:r>
      <w:r>
        <w:rPr>
          <w:rFonts w:ascii="Arial TUR" w:hAnsi="Arial TUR"/>
          <w:b/>
          <w:bCs/>
          <w:sz w:val="22"/>
          <w:rtl/>
        </w:rPr>
        <w:t>פלוני נ' מדינת ישראל</w:t>
      </w:r>
      <w:r>
        <w:rPr>
          <w:rFonts w:ascii="Arial TUR" w:hAnsi="Arial TUR"/>
          <w:sz w:val="22"/>
          <w:rtl/>
        </w:rPr>
        <w:t xml:space="preserve"> (5.11.2014); ע"פ 8680/11 </w:t>
      </w:r>
      <w:r>
        <w:rPr>
          <w:rFonts w:ascii="Arial TUR" w:hAnsi="Arial TUR"/>
          <w:b/>
          <w:bCs/>
          <w:sz w:val="22"/>
          <w:rtl/>
        </w:rPr>
        <w:t xml:space="preserve">פלוני נ' </w:t>
      </w:r>
      <w:r>
        <w:rPr>
          <w:rFonts w:ascii="Arial TUR" w:hAnsi="Arial TUR"/>
          <w:b/>
          <w:bCs/>
          <w:sz w:val="22"/>
          <w:rtl/>
        </w:rPr>
        <w:lastRenderedPageBreak/>
        <w:t>מדינת ישראל</w:t>
      </w:r>
      <w:r>
        <w:rPr>
          <w:rFonts w:ascii="Arial TUR" w:hAnsi="Arial TUR"/>
          <w:sz w:val="22"/>
          <w:rtl/>
        </w:rPr>
        <w:t xml:space="preserve"> (5.6.2013); ע"פ 3399/11 </w:t>
      </w:r>
      <w:r>
        <w:rPr>
          <w:rFonts w:ascii="Arial TUR" w:hAnsi="Arial TUR"/>
          <w:b/>
          <w:bCs/>
          <w:sz w:val="22"/>
          <w:rtl/>
        </w:rPr>
        <w:t>פלוני נ' מדינת ישראל</w:t>
      </w:r>
      <w:r>
        <w:rPr>
          <w:rFonts w:ascii="Arial TUR" w:hAnsi="Arial TUR"/>
          <w:sz w:val="22"/>
          <w:rtl/>
        </w:rPr>
        <w:t xml:space="preserve"> </w:t>
      </w:r>
      <w:r>
        <w:rPr>
          <w:sz w:val="22"/>
          <w:rtl/>
        </w:rPr>
        <w:t xml:space="preserve"> </w:t>
      </w:r>
      <w:r>
        <w:rPr>
          <w:rFonts w:ascii="Arial TUR" w:hAnsi="Arial TUR"/>
          <w:sz w:val="22"/>
          <w:rtl/>
        </w:rPr>
        <w:t xml:space="preserve">(24.1.2013)). כפי שציינתי </w:t>
      </w:r>
      <w:r>
        <w:rPr>
          <w:rFonts w:ascii="Century" w:hAnsi="Century" w:cs="Miriam"/>
          <w:b/>
          <w:sz w:val="22"/>
          <w:rtl/>
        </w:rPr>
        <w:t xml:space="preserve">בעניין סץ, </w:t>
      </w:r>
      <w:r>
        <w:rPr>
          <w:rFonts w:ascii="Century" w:hAnsi="Century"/>
          <w:sz w:val="22"/>
          <w:rtl/>
        </w:rPr>
        <w:t>בפסקה 26:</w:t>
      </w:r>
      <w:r>
        <w:rPr>
          <w:rFonts w:ascii="Century" w:hAnsi="Century" w:cs="Miriam"/>
          <w:sz w:val="22"/>
          <w:rtl/>
        </w:rPr>
        <w:t xml:space="preserve"> </w:t>
      </w:r>
    </w:p>
    <w:p w:rsidR="005B163D" w:rsidRDefault="005B163D" w:rsidP="005B163D">
      <w:pPr>
        <w:spacing w:line="360" w:lineRule="auto"/>
        <w:ind w:left="720"/>
        <w:rPr>
          <w:rFonts w:ascii="Century" w:hAnsi="Century" w:cs="Miriam"/>
          <w:spacing w:val="10"/>
          <w:sz w:val="22"/>
          <w:rtl/>
        </w:rPr>
      </w:pPr>
    </w:p>
    <w:p w:rsidR="005B163D" w:rsidRDefault="005B163D" w:rsidP="005B163D">
      <w:pPr>
        <w:ind w:left="1644" w:right="1276"/>
        <w:jc w:val="both"/>
        <w:rPr>
          <w:rFonts w:ascii="Arial TUR" w:hAnsi="Arial TUR" w:cs="FrankRuehl"/>
          <w:spacing w:val="10"/>
          <w:szCs w:val="28"/>
        </w:rPr>
      </w:pPr>
      <w:r>
        <w:rPr>
          <w:rFonts w:ascii="Century" w:hAnsi="Century" w:cs="FrankRuehl"/>
          <w:spacing w:val="10"/>
          <w:szCs w:val="28"/>
          <w:rtl/>
        </w:rPr>
        <w:t>"דברים</w:t>
      </w:r>
      <w:r>
        <w:rPr>
          <w:rFonts w:ascii="Arial TUR" w:hAnsi="Arial TUR" w:cs="FrankRuehl"/>
          <w:spacing w:val="10"/>
          <w:szCs w:val="28"/>
          <w:rtl/>
        </w:rPr>
        <w:t xml:space="preserve"> אלה נכונים ביתר שאת כאשר מדובר בקטינים רכים בשנים... קטינים, בגילאים כה צעירים, אינם מודעים בדרך כלל, לטיבם של המעשים שנעשו בגופם, ובמרבית המקרים הם אף חסרים את אוצר המילים המתאים, כדי לתארם. לעיתים, ומפאת גילם הצעיר, משתבשת אצלם תפיסת הזמן, כמו גם היכולת לפרט באופן כרונולוגי את הדברים שחוו (מייקל למב, קטלין שטרנברג ופיליפ אספלין "ראיון ילדים צעירים קורבנות של עבירות מין" </w:t>
      </w:r>
      <w:r>
        <w:rPr>
          <w:rFonts w:ascii="Arial TUR" w:hAnsi="Arial TUR" w:cs="Miriam"/>
          <w:b/>
          <w:rtl/>
        </w:rPr>
        <w:t>פגיעות מיניות בילדים: החוק, החוקר ובית המשפט</w:t>
      </w:r>
      <w:r>
        <w:rPr>
          <w:rFonts w:ascii="Arial TUR" w:hAnsi="Arial TUR" w:cs="FrankRuehl"/>
          <w:spacing w:val="10"/>
          <w:szCs w:val="28"/>
          <w:rtl/>
        </w:rPr>
        <w:t xml:space="preserve"> 109, 118-110 (מאיר חובב עורך, 1993) (להלן: </w:t>
      </w:r>
      <w:r>
        <w:rPr>
          <w:rFonts w:ascii="Arial TUR" w:hAnsi="Arial TUR" w:cs="Miriam"/>
          <w:b/>
          <w:rtl/>
        </w:rPr>
        <w:t>החוק, החוקר ובית המשפט</w:t>
      </w:r>
      <w:r>
        <w:rPr>
          <w:rFonts w:ascii="Arial TUR" w:hAnsi="Arial TUR" w:cs="FrankRuehl"/>
          <w:spacing w:val="10"/>
          <w:szCs w:val="28"/>
          <w:rtl/>
        </w:rPr>
        <w:t xml:space="preserve">); לוי עדן "חקירה פלילית של ילדים המעורבים בעבירת מין" </w:t>
      </w:r>
      <w:r>
        <w:rPr>
          <w:rFonts w:ascii="Arial TUR" w:hAnsi="Arial TUR" w:cs="Miriam"/>
          <w:b/>
          <w:rtl/>
        </w:rPr>
        <w:t>החוק החוקר ובית המשפט</w:t>
      </w:r>
      <w:r>
        <w:rPr>
          <w:rFonts w:ascii="Arial TUR" w:hAnsi="Arial TUR" w:cs="FrankRuehl"/>
          <w:spacing w:val="10"/>
          <w:szCs w:val="28"/>
          <w:rtl/>
        </w:rPr>
        <w:t xml:space="preserve"> 60, 69-67). לאור המאפיינים הייחודיים לעדותם של קטינים, דומה, כי אין ליתן משקל משמעותי לסתירות, לפרכות, או ל"</w:t>
      </w:r>
      <w:r>
        <w:rPr>
          <w:rFonts w:ascii="Arial TUR" w:hAnsi="Arial TUR" w:cs="Miriam"/>
          <w:b/>
          <w:rtl/>
        </w:rPr>
        <w:t>חללים</w:t>
      </w:r>
      <w:r>
        <w:rPr>
          <w:rFonts w:ascii="Arial TUR" w:hAnsi="Arial TUR" w:cs="FrankRuehl"/>
          <w:spacing w:val="10"/>
          <w:szCs w:val="28"/>
          <w:rtl/>
        </w:rPr>
        <w:t xml:space="preserve">" המתגלים בעדויותיהם. זאת, כל עוד הערכאה הדיונית השכילה לבחון בקפדנות רבה את עדותו של הקורבן הרך בשנים, ואיתרה </w:t>
      </w:r>
      <w:r>
        <w:rPr>
          <w:rFonts w:ascii="Arial TUR" w:hAnsi="Arial TUR" w:cs="Miriam"/>
          <w:b/>
          <w:rtl/>
        </w:rPr>
        <w:t>בה "גרעין אמת"</w:t>
      </w:r>
      <w:r>
        <w:rPr>
          <w:rFonts w:ascii="Arial TUR" w:hAnsi="Arial TUR" w:cs="FrankRuehl"/>
          <w:spacing w:val="10"/>
          <w:szCs w:val="28"/>
          <w:rtl/>
        </w:rPr>
        <w:t xml:space="preserve"> מבוסס ואמין". </w:t>
      </w:r>
    </w:p>
    <w:p w:rsidR="005B163D" w:rsidRDefault="005B163D" w:rsidP="005B163D">
      <w:pPr>
        <w:pStyle w:val="Ruller4"/>
        <w:numPr>
          <w:ilvl w:val="0"/>
          <w:numId w:val="0"/>
        </w:numPr>
        <w:ind w:left="720" w:right="567"/>
        <w:rPr>
          <w:rFonts w:ascii="Arial TUR" w:hAnsi="Arial TUR"/>
          <w:rtl/>
        </w:rPr>
      </w:pPr>
    </w:p>
    <w:p w:rsidR="005B163D" w:rsidRDefault="005B163D" w:rsidP="005B163D">
      <w:pPr>
        <w:pStyle w:val="Ruller4"/>
        <w:numPr>
          <w:ilvl w:val="0"/>
          <w:numId w:val="0"/>
        </w:numPr>
        <w:ind w:left="720" w:right="567"/>
        <w:rPr>
          <w:rFonts w:ascii="Arial TUR" w:hAnsi="Arial TUR"/>
        </w:rPr>
      </w:pPr>
      <w:r>
        <w:rPr>
          <w:rFonts w:ascii="Arial TUR" w:hAnsi="Arial TUR"/>
          <w:rtl/>
        </w:rPr>
        <w:t xml:space="preserve">[ע"פ 4818/16 </w:t>
      </w:r>
      <w:r>
        <w:rPr>
          <w:rFonts w:ascii="Arial TUR" w:hAnsi="Arial TUR"/>
          <w:b/>
          <w:bCs/>
          <w:rtl/>
        </w:rPr>
        <w:t>פלוני נ' מדינת ישראל</w:t>
      </w:r>
      <w:r>
        <w:rPr>
          <w:rFonts w:ascii="Arial TUR" w:hAnsi="Arial TUR"/>
          <w:rtl/>
        </w:rPr>
        <w:t xml:space="preserve"> (9.1.2018)]</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סבורני כי עדויות הקטינה כאן לפני חוקרת הילדים כוללות הרבה יותר מאותו "גרעין קשה" של אירועים, ועם זה חוקרת הילדים הציפה קשיים אמתיים בכל הקשור לקביעת מהימנות חלק מהגרסה שמסרה, בעיקר נוכח דלות התוכן.</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החלטה זו של חוקרת הילדים שלא לקבוע את מהימנות גרסת הקטינה ביחס לעובדות מסוימות ראויה להערכה. היא מעידה על מקצועיותה וזהירותה של החוקרת, לא על בעיה כלשהי באמינות הקטינה, כפי שאמנם העידה חוקרת הילדים.</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המאשימה בקשה אותנו לקבוע בעצמנו את מהימנות גרסת הקטינה גם ביחס לאותן עובדות שחוקרת הילדים מצאה שאותן אין ביכולתה לקבוע בביטחון מספיק, בנימוק שגם בעניינים אלה הפוסק האחרון הוא בית המשפט. </w:t>
      </w:r>
    </w:p>
    <w:p w:rsidR="005B163D" w:rsidRDefault="005B163D" w:rsidP="005B163D">
      <w:pPr>
        <w:pStyle w:val="ae"/>
        <w:rPr>
          <w:rFonts w:ascii="David" w:hAnsi="David" w:cs="David"/>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lastRenderedPageBreak/>
        <w:t xml:space="preserve">אלא שקביעתה של חוקרת הילדים תואמת את התרשמותי שלי שמחקירות הקטינה אכן לא ניתן להסיק במידת הוודאות הנדרשת בפלילים כי בוצעו בה המעשים כפי שפורטו בסעיפים 7, 8 ו-12 לאישום הראשון. על כן מסקנת חוקרת הילדים בנוגע להן מקובלת עליי. אף לא הוצגה לפנינו ראיה חיצונית שיכולה לתמוך בהתקיימות אותן עובדות, זולת אישורו של הנאשם עצמו לקיומה של הנשיקה המתוארת בסעיף 12 לאישום, אלא שבעניין זה טענת הנאשם היא שהקטינה היא שיזמה את המעשה.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b/>
          <w:bCs/>
          <w:sz w:val="24"/>
          <w:szCs w:val="24"/>
          <w:rtl/>
        </w:rPr>
        <w:t>אציע אפוא לחבריי לקבל את קביעות המהימנות של חוקרת הילדים ביחס לקטינה בשלמותן.</w:t>
      </w:r>
    </w:p>
    <w:p w:rsidR="005B163D" w:rsidRDefault="005B163D" w:rsidP="005B163D">
      <w:pPr>
        <w:pStyle w:val="ae"/>
        <w:rPr>
          <w:rFonts w:ascii="David" w:hAnsi="David" w:cs="David"/>
          <w:sz w:val="24"/>
          <w:szCs w:val="24"/>
          <w:rtl/>
        </w:rPr>
      </w:pPr>
    </w:p>
    <w:p w:rsidR="005B163D" w:rsidRDefault="005B163D" w:rsidP="005B163D">
      <w:pPr>
        <w:shd w:val="clear" w:color="auto" w:fill="FFFFFF"/>
        <w:spacing w:line="360" w:lineRule="atLeast"/>
        <w:ind w:firstLine="84"/>
        <w:jc w:val="both"/>
        <w:rPr>
          <w:rFonts w:ascii="David" w:hAnsi="David"/>
          <w:color w:val="000000"/>
          <w:u w:val="single"/>
        </w:rPr>
      </w:pPr>
      <w:r>
        <w:rPr>
          <w:rFonts w:ascii="David" w:hAnsi="David"/>
          <w:color w:val="000000"/>
          <w:u w:val="single"/>
          <w:rtl/>
        </w:rPr>
        <w:t>השיחה המוקלטת ת/15</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במהלך חקירת אם הקטינה במשטרה, ועוד לפני שהנאשם זומן לחקירה באזהרה, יזמה המשטרה תרגיל חקירה שמטרתו הייתה לחלץ מהנאשם הודאה במסגרת שיחה מוקלטת בינו לבין מ' שנערכה ביום 13.10.2021 (ת/17). מן העובדה שהנאשם אף הוא הקליט את השיחה (ת/20), ויום למחרת הציג את ההקלטה במסגרת חקירתו באזהרה ת/4, ניתן להסיק שצדקה מ' כאשר העידה לפנינו כי הנאשם הבין שמדובר בתרגיל או לכל הפחות חשד בקיומו. הנאשם הודה בעדותו שנזהר כי ידע שמוקלט (עמ' 295 ש' 20-19).</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הנאשם לא הודה במעשים המיוחסים לו במסגרת תרגיל החקירה, ואולם השיחה כללה פרטים אחרים בעלי משמעות: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ברור מתוכן השיחה כי אין זו הפעם הראשונה שהשניים שוחחו אודות מצבה הנפשי הקשה של הקטינה ועל טענתה של מ' כי הנאשם הוא האשם בכך; </w:t>
      </w:r>
    </w:p>
    <w:p w:rsidR="005B163D" w:rsidRDefault="005B163D" w:rsidP="005B163D">
      <w:pPr>
        <w:pStyle w:val="ae"/>
        <w:shd w:val="clear" w:color="auto" w:fill="FFFFFF"/>
        <w:spacing w:after="0" w:line="360" w:lineRule="atLeast"/>
        <w:ind w:left="84" w:firstLine="636"/>
        <w:jc w:val="both"/>
        <w:rPr>
          <w:rFonts w:ascii="David" w:hAnsi="David" w:cs="David"/>
          <w:sz w:val="24"/>
          <w:szCs w:val="24"/>
          <w:u w:val="single"/>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u w:val="single"/>
          <w:rtl/>
        </w:rPr>
      </w:pPr>
      <w:r>
        <w:rPr>
          <w:rFonts w:ascii="David" w:hAnsi="David" w:cs="David"/>
          <w:sz w:val="24"/>
          <w:szCs w:val="24"/>
          <w:u w:val="single"/>
          <w:rtl/>
        </w:rPr>
        <w:t>שנית</w:t>
      </w:r>
      <w:r>
        <w:rPr>
          <w:rFonts w:ascii="David" w:hAnsi="David" w:cs="David"/>
          <w:sz w:val="24"/>
          <w:szCs w:val="24"/>
          <w:rtl/>
        </w:rPr>
        <w:t xml:space="preserve">, הנאשם הודה שהעביר כספים ל-מ' עבור טיפולים פסיכולוגיים לקטינה, לדבריו משום שאם הייתה מוגשת נגדו תלונה במשטרה – כפי שאיימה מ' לעשות – ממילא היה נאלץ להוציא כסף על עורכי דין; </w:t>
      </w:r>
    </w:p>
    <w:p w:rsidR="005B163D" w:rsidRDefault="005B163D" w:rsidP="005B163D">
      <w:pPr>
        <w:pStyle w:val="ae"/>
        <w:shd w:val="clear" w:color="auto" w:fill="FFFFFF"/>
        <w:spacing w:after="0" w:line="360" w:lineRule="atLeast"/>
        <w:ind w:left="84" w:firstLine="636"/>
        <w:jc w:val="both"/>
        <w:rPr>
          <w:rFonts w:ascii="David" w:hAnsi="David" w:cs="David"/>
          <w:sz w:val="24"/>
          <w:szCs w:val="24"/>
          <w:u w:val="single"/>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u w:val="single"/>
          <w:rtl/>
        </w:rPr>
      </w:pPr>
      <w:r>
        <w:rPr>
          <w:rFonts w:ascii="David" w:hAnsi="David" w:cs="David"/>
          <w:sz w:val="24"/>
          <w:szCs w:val="24"/>
          <w:u w:val="single"/>
          <w:rtl/>
        </w:rPr>
        <w:t>שלישית</w:t>
      </w:r>
      <w:r>
        <w:rPr>
          <w:rFonts w:ascii="David" w:hAnsi="David" w:cs="David"/>
          <w:sz w:val="24"/>
          <w:szCs w:val="24"/>
          <w:rtl/>
        </w:rPr>
        <w:t xml:space="preserve">, הנאשם התעקש שלא דחף לקטינה אצבעות ולא נגע בה מתחת לבגדים, אך אישר קיומה של נשיקה, אם כי לדבריו הקטינה היא שנישקה אותו בפה, ולאחר מכן חשש להיות עם הקטינה לבד; </w:t>
      </w:r>
    </w:p>
    <w:p w:rsidR="005B163D" w:rsidRDefault="005B163D" w:rsidP="005B163D">
      <w:pPr>
        <w:pStyle w:val="ae"/>
        <w:shd w:val="clear" w:color="auto" w:fill="FFFFFF"/>
        <w:spacing w:after="0" w:line="360" w:lineRule="atLeast"/>
        <w:ind w:left="84" w:firstLine="636"/>
        <w:jc w:val="both"/>
        <w:rPr>
          <w:rFonts w:ascii="David" w:hAnsi="David" w:cs="David"/>
          <w:sz w:val="24"/>
          <w:szCs w:val="24"/>
          <w:u w:val="single"/>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u w:val="single"/>
          <w:rtl/>
        </w:rPr>
        <w:lastRenderedPageBreak/>
        <w:t>רביעית</w:t>
      </w:r>
      <w:r>
        <w:rPr>
          <w:rFonts w:ascii="David" w:hAnsi="David" w:cs="David"/>
          <w:sz w:val="24"/>
          <w:szCs w:val="24"/>
          <w:rtl/>
        </w:rPr>
        <w:t xml:space="preserve">, הנאשם טען כי הקטינה היא חכמה ומניפולטיבית, והתלוננה עליו משום שרצתה </w:t>
      </w:r>
      <w:r>
        <w:rPr>
          <w:rFonts w:ascii="Miriam" w:hAnsi="Miriam" w:cs="Miriam"/>
          <w:sz w:val="24"/>
          <w:szCs w:val="24"/>
          <w:rtl/>
        </w:rPr>
        <w:t>"לבעוט אותי מהבית"</w:t>
      </w:r>
      <w:r>
        <w:rPr>
          <w:rFonts w:ascii="David" w:hAnsi="David" w:cs="David"/>
          <w:sz w:val="24"/>
          <w:szCs w:val="24"/>
          <w:rtl/>
        </w:rPr>
        <w:t xml:space="preserve"> (הגם שלא גר אצל מ' באותה התקופה).</w:t>
      </w:r>
    </w:p>
    <w:p w:rsidR="005B163D" w:rsidRDefault="005B163D" w:rsidP="005B163D">
      <w:pPr>
        <w:shd w:val="clear" w:color="auto" w:fill="FFFFFF"/>
        <w:spacing w:line="360" w:lineRule="atLeast"/>
        <w:ind w:firstLine="84"/>
        <w:jc w:val="both"/>
        <w:rPr>
          <w:rFonts w:ascii="David" w:hAnsi="David"/>
          <w:b/>
          <w:bCs/>
          <w:color w:val="000000"/>
          <w:u w:val="single"/>
          <w:rtl/>
        </w:rPr>
      </w:pPr>
    </w:p>
    <w:p w:rsidR="005B163D" w:rsidRDefault="005B163D" w:rsidP="005B163D">
      <w:pPr>
        <w:shd w:val="clear" w:color="auto" w:fill="FFFFFF"/>
        <w:spacing w:line="360" w:lineRule="atLeast"/>
        <w:ind w:firstLine="84"/>
        <w:jc w:val="both"/>
        <w:rPr>
          <w:rFonts w:ascii="David" w:hAnsi="David"/>
          <w:color w:val="000000"/>
          <w:u w:val="single"/>
          <w:rtl/>
        </w:rPr>
      </w:pPr>
      <w:r>
        <w:rPr>
          <w:rFonts w:ascii="David" w:hAnsi="David"/>
          <w:color w:val="000000"/>
          <w:u w:val="single"/>
          <w:rtl/>
        </w:rPr>
        <w:t xml:space="preserve">גרסאות הנאשם </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הנאשם נחקר לראשונה ביום 14.10.2021 אודות התלונה שמסרה הקטינה (ת/4). בפתח חקירתו הודיע הנאשם כי הוא נתון לסחיטה מצד מ' כבר שנה ומחצה ומסר למשטרה את הקלטת השיחה ת/15. הנאשם כפר בכך שביצע בקטינה מעשים מיניים וטען כי התנהג אליה כמו לבת. עוד טען כי הילדה פשוט מאוהבת בו, אבל היו לה הרבה בעיות לפני שהכירה אותו.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b/>
          <w:bCs/>
          <w:sz w:val="24"/>
          <w:szCs w:val="24"/>
          <w:rtl/>
        </w:rPr>
        <w:t>יום אחד באה אליו הקטינה ונשקה לו בפיו</w:t>
      </w:r>
      <w:r>
        <w:rPr>
          <w:rFonts w:ascii="David" w:hAnsi="David" w:cs="David"/>
          <w:sz w:val="24"/>
          <w:szCs w:val="24"/>
          <w:rtl/>
        </w:rPr>
        <w:t xml:space="preserve"> ואז אמרה לו לא לגעת בה יותר. הנאשם טען שהילדה מצאה את הדרך להעיף אותו מחיי אמהּ, ומיד לאחר מכן אמר שזו מניפולציה של האימא שבאה אליו לראשונה לפני שנה ומחצה כדי לסחוט ממנו כסף, לכאורה כדי לטפל בילדה (ש' 19), בטענה שנגע בה (ש' 23). הנאשם טען שהסכים לשלם ל-מ' 500 ₪ בחודש עבור הטיפולים בקטינה (ש' 33). לדבריו עשה כן מאהבה, רצה לעזור לה (ש' 93).</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הוקראו לנאשם כל המעשים שהקטינה טענה שביצע בה בחקירות הילדים שעברה. הוא הכחיש נחרצות, לאורך כל חקירתו, שפגע מינית בקטינה, אבל הוא אישר שנהג להיכנס לחדרה של הקטינה כדי לשחק עמה (ש' 81).</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בחקירתו השנייה מיום 17.10.2021 (ת/9) טען הנאשם כי הכול התחיל באותו ערב בסביבות מאי-יוני 2020 שהחזיר את הקטינה עם מ' מאבא שלה. אבי הקטינה ראה אותו, נעצר ולא התקרב לאוטו ומאז הקטינה לא רצתה לראות אותו יותר. </w:t>
      </w:r>
      <w:r>
        <w:rPr>
          <w:rFonts w:ascii="David" w:hAnsi="David" w:cs="David"/>
          <w:b/>
          <w:bCs/>
          <w:sz w:val="24"/>
          <w:szCs w:val="24"/>
          <w:rtl/>
        </w:rPr>
        <w:t>לאחר המקרה אמרה לו מ' שהקטינה אמרה שנגע בה ומישש לה את הבטן</w:t>
      </w:r>
      <w:r>
        <w:rPr>
          <w:rFonts w:ascii="David" w:hAnsi="David" w:cs="David"/>
          <w:sz w:val="24"/>
          <w:szCs w:val="24"/>
          <w:rtl/>
        </w:rPr>
        <w:t xml:space="preserve"> ואיימה עליו שאם לא יספר לה מה עשה תלך למשטרה (ש' 35). הנאשם חזר על טענתו כי הקטינה העלילה עליו כדי להחזיר את הוריה הגרושים לחיות ביחד. חזר על כך שבשנת 2020 הקטינה נשקה לו בפה ואז סיפר ל-מ' שאמרה לו שזה מקנאה בה. </w:t>
      </w:r>
      <w:r>
        <w:rPr>
          <w:rFonts w:ascii="David" w:hAnsi="David" w:cs="David"/>
          <w:b/>
          <w:bCs/>
          <w:sz w:val="24"/>
          <w:szCs w:val="24"/>
          <w:rtl/>
        </w:rPr>
        <w:t xml:space="preserve">בהמשך טען כי לפעמים כשהיה משחק עם הקטינה הייתה היא נותנת לו אגרוף בין הרגליים, אך לא סיפר זאת ל-מ' </w:t>
      </w:r>
      <w:r>
        <w:rPr>
          <w:rFonts w:ascii="David" w:hAnsi="David" w:cs="David"/>
          <w:sz w:val="24"/>
          <w:szCs w:val="24"/>
          <w:rtl/>
        </w:rPr>
        <w:t>(ש' 81-66). פעם נוספת הוקראו לנאשם תיאורי הקטינה על מעשיו, לרבות טענתה שנגע בה באזור הבטן והחדיר אצבע לאיבר מינה (ש' 105). תגובתו הייתה שאולי מישהו אחר עשה לה זאת. בסוף החקירה מצא הנאשם לנכון לומר כי מ' גנבה בגדים בשביל בתה, בעלה הפליל אותה ותפסו אותה על חם והיא גם נאנסה בידי אחיה כשהייתה קטנה (ש' 178). כך אמר כי מ' גם היא חלק מהעניין ומשפיעה על הקטינה.</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 xml:space="preserve">בחקירתו השלישית מיום 21.10.2021 (ת/10) נחקר הנאשם גם בחשד לשיבוש החקירה בשל כך שמחק הודעות מהטלפון הנייד טרם מעצרו. בהמשך החקירה הוצג לנאשם יומנה של הקטינה ת/18, ובו טענות כי פגע בה מינית, ותגובתו לתכנים הייתה, בין היתר, איך האימא לא אמרה לו דבר על כך בזמן שהיה שם. בחקירה זו לא עלו תכנים משמעותיים נוספים בנוגע לאישום הראשון. </w:t>
      </w: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בעדותו לפנינו חזר הנאשם על הגרסה כי לא פגע מינית בקטינה. מ' ניסתה לדבריו לסחוט ממנו כספים בתואנת שווא כי עשה כן, והוא אכן הזרים לה כספים לגרסתו רק כדי לעזור לקטינה באופן כללי וכדי ש-מ' לא תתלונן במשטרה – עמה הסתבך הנאשם חצי שנה קודם לכן כאשר הוגשה נגדו תלונתה של ב.ב. </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כאשר נשאל הנאשם האם מ' בקשה ממנו כסף לטיפולים בקטינה, התחמק הנאשם שעה ארוכה מלהשיב תשובה ברורה בעניין זה, עד שנאלץ להודות כי כך אירע (עמ' 367-365). </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הנאשם טען בעדותו כי בתקופת הקורונה מ' נהגה להשאיר את הקטינה בבית לבד כל היום בעת שהוא בעבודה, ופעם אחת נכנס לבית בעקבות דיווחי השכן וראה את הקטינה שורפת עוגה ומזל שהגיע (עמ' 357), אך מיד לאחר מכן אמר שהקטינה תמיד שהתה בבית במחיצת אימה או סבתה והתכחש לכך שאמר דברים אחרים קודם לכן (עמ' 358, 385). כשהוצגה לו הסתירה טען שבשתי פעמים בלבד שהה לבד במחיצת הקטינה (עמ' 360 ש' 2-1, עמ' 363 ש' 10). הנאשם אישר עוד ששיחק עם הקטינה לבד בחדר במשחק קופסה (עמ' 363), כשהדלת סגורה (עמ' 392).</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בעדותו בבית המשפט אמר הנאשם כי רצה למצוא חן בעיני הקטינה (כדי להתחבב על אימה), ובפעם הראשונה אישר שנגע בה, לדבריו במסגרת משחק: </w:t>
      </w:r>
      <w:r>
        <w:rPr>
          <w:rFonts w:ascii="Miriam" w:hAnsi="Miriam" w:cs="Miriam"/>
          <w:sz w:val="24"/>
          <w:szCs w:val="24"/>
          <w:rtl/>
        </w:rPr>
        <w:t xml:space="preserve">"(ואז) שיחקתי עם הילדה, </w:t>
      </w:r>
      <w:r>
        <w:rPr>
          <w:rFonts w:ascii="Miriam" w:hAnsi="Miriam" w:cs="Miriam"/>
          <w:b/>
          <w:bCs/>
          <w:sz w:val="24"/>
          <w:szCs w:val="24"/>
          <w:rtl/>
        </w:rPr>
        <w:t>דגדגתי אותה המון בבטן</w:t>
      </w:r>
      <w:r>
        <w:rPr>
          <w:rFonts w:ascii="Miriam" w:hAnsi="Miriam" w:cs="Miriam"/>
          <w:sz w:val="24"/>
          <w:szCs w:val="24"/>
          <w:rtl/>
        </w:rPr>
        <w:t xml:space="preserve"> והיא לקחה את זה למשהו אחר. בבית השחי. זרקתי אותה על המיטה הכל מהכל..."</w:t>
      </w:r>
      <w:r>
        <w:rPr>
          <w:rFonts w:ascii="David" w:hAnsi="David" w:cs="David"/>
          <w:sz w:val="24"/>
          <w:szCs w:val="24"/>
          <w:rtl/>
        </w:rPr>
        <w:t xml:space="preserve"> (עמ' 358 ש' 19-17, ההדגשה שלי – מ' ק'; כן ראו עמ' 362 ש' 26 ועמ' 363). בחקירתו הנגדית הוסיף הנאשם כי דגדג את הקטינה גם בבית השחי (עמ' 389 ש' 2). בנוסף אישר הנאשם את גרסתו מחקירתו השנייה ת/9 כי כאשר היה זורק את הקטינה על המיטה תוך כדי המשחק היו מקרים שהקטינה נתנה לו אגרוף בין הרגליים (עמ' 392 ש' 31-29). הנאשם לא הצליח להסביר מדוע את גרסת המגע התמים לא העלה כלל בחקירותיו במשטרה, הגם שבאלה נאמר לו במפורש שהקטינה טוענת שליטף לה את </w:t>
      </w:r>
      <w:r>
        <w:rPr>
          <w:rFonts w:ascii="David" w:hAnsi="David" w:cs="David"/>
          <w:b/>
          <w:bCs/>
          <w:sz w:val="24"/>
          <w:szCs w:val="24"/>
          <w:rtl/>
        </w:rPr>
        <w:t>הבטן</w:t>
      </w:r>
      <w:r>
        <w:rPr>
          <w:rFonts w:ascii="David" w:hAnsi="David" w:cs="David"/>
          <w:sz w:val="24"/>
          <w:szCs w:val="24"/>
          <w:rtl/>
        </w:rPr>
        <w:t xml:space="preserve"> (עמ' 391-389).</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מקצת מהסתירות הרבות בהן הסתבך הנאשם הוצגו לעיל. הרושם הברור הוא שלא מסר גרסת אמת אלא ניסה להתאים את גרסתו לראיות שהסיק שמצויות בידי החוקרים. כך באשר </w:t>
      </w:r>
      <w:r>
        <w:rPr>
          <w:rFonts w:ascii="David" w:hAnsi="David" w:cs="David"/>
          <w:sz w:val="24"/>
          <w:szCs w:val="24"/>
          <w:rtl/>
        </w:rPr>
        <w:lastRenderedPageBreak/>
        <w:t xml:space="preserve">לשאלת הימצאותו לבד עם הקטינה, וכך גם בנוגע לקיומו של מגע ביניהם, לרבות באזור חלציו (מגע אותו אישר הנאשם רק בעדותו לפנינו).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טענת המניע הפסול שהעלה הנאשם אינה מתקבלת על הדעת: ילדה בת 8, שכל הצופה בחקירותיה יתרשם מתמימותה ופשטותה, ילדה שגם הנאשם מאשר שאהבה אותו, תטפול עליו אשמת שווא שפגע בה מינית, לא פחות, על מנת להרחיקו מאמהּ באופן שיאפשר את להוריה לשוב ולהתקרב זה לזו.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לא אוכל לקבל את הסבריו המאולצים של הנאשם כי לאחר ש-מ' האשימה אותו במפורש בפגיעה מינית בבתה הקטינה החליט הוא להעביר לה כספים "מאהבה" גרידא ועבור קשיים שהקטינה חוותה קודם לכן ללא כל קשר למעשיו. הרושם הברור הוא שהנאשם הבין בזמן אמת שנתפס בקלקלתו ועל כן נאות לבקשת אם הקטינה והעביר לה כספים כדי להיטיב את מצבה הנפשי בעקבות הפגיעה שהסב לה ואף כדי למנוע הגשת תלונה במשטרה.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כאמור לעיל, הנאשם אישר בעדותו מספר מגעים מחשידים בינו לבין הקטינה: נשיקה, מגע נרחב באזור הבטן ובאזור חלציו. אין לי אמון בגרסה המיתממת שסיפק הנאשם למעשים אלה, המשתלבים בעדות הקטינה לפני חוקרת הילדים.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הנה כי כן, </w:t>
      </w:r>
      <w:r>
        <w:rPr>
          <w:rFonts w:ascii="David" w:hAnsi="David" w:cs="David"/>
          <w:b/>
          <w:bCs/>
          <w:sz w:val="24"/>
          <w:szCs w:val="24"/>
          <w:rtl/>
        </w:rPr>
        <w:t>גם גרסתו של הנאשם בנוגע למעשים שהקטינה טענה שביצע בה במסגרת האישום הראשון אינה ראויה לאמון</w:t>
      </w:r>
      <w:r>
        <w:rPr>
          <w:rFonts w:ascii="David" w:hAnsi="David" w:cs="David"/>
          <w:sz w:val="24"/>
          <w:szCs w:val="24"/>
          <w:rtl/>
        </w:rPr>
        <w:t xml:space="preserve">. </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jc w:val="both"/>
        <w:rPr>
          <w:rFonts w:ascii="David" w:hAnsi="David" w:cs="David"/>
          <w:sz w:val="24"/>
          <w:szCs w:val="24"/>
          <w:u w:val="single"/>
          <w:rtl/>
        </w:rPr>
      </w:pPr>
      <w:r>
        <w:rPr>
          <w:rFonts w:ascii="David" w:hAnsi="David" w:cs="David"/>
          <w:b/>
          <w:bCs/>
          <w:sz w:val="24"/>
          <w:szCs w:val="24"/>
          <w:u w:val="single"/>
          <w:rtl/>
        </w:rPr>
        <w:t>סיוע לעדות הקטינה</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ידוע ואין צריך לומר כי עדות ילד בפני חוקר ילדים, המובאת לפני בית המשפט בשם אומרה, היא חריג לכלל הגדול האוסר עדות מפי השמועה. </w:t>
      </w:r>
    </w:p>
    <w:p w:rsidR="005B163D" w:rsidRDefault="005B163D" w:rsidP="005B163D">
      <w:pPr>
        <w:pStyle w:val="ae"/>
        <w:shd w:val="clear" w:color="auto" w:fill="FFFFFF"/>
        <w:spacing w:after="0" w:line="360" w:lineRule="atLeast"/>
        <w:ind w:left="84"/>
        <w:jc w:val="both"/>
        <w:rPr>
          <w:rFonts w:ascii="David" w:hAnsi="David" w:cs="David"/>
          <w:sz w:val="24"/>
          <w:szCs w:val="24"/>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ישנו קושי ניכר בהרשעת נאשם על בסיס עדות יחידה כזו, מבלי שעומדת לו האפשרות להתגונן מפניה על ידי חקירה נגדית ומשום היעדר האפשרות של בית המשפט להתרשם מהעדות באופן ישיר, אם כי כיום העדויות מצולמות ומוקלטות, באופן שמפחית את החשש השני [ע"פ 446/02 </w:t>
      </w:r>
      <w:r>
        <w:rPr>
          <w:rFonts w:ascii="David" w:hAnsi="David" w:cs="David"/>
          <w:b/>
          <w:bCs/>
          <w:sz w:val="24"/>
          <w:szCs w:val="24"/>
          <w:rtl/>
        </w:rPr>
        <w:t>מדינת ישראל נ' קובי</w:t>
      </w:r>
      <w:r>
        <w:rPr>
          <w:rFonts w:ascii="David" w:hAnsi="David" w:cs="David"/>
          <w:sz w:val="24"/>
          <w:szCs w:val="24"/>
          <w:rtl/>
        </w:rPr>
        <w:t>, פ"ד נז(3) 769, 777 מול האות ג' (2002)]. מכאן דרישת הסיוע כתנאי להרשעה על סמך עדות מסוג זה</w:t>
      </w:r>
      <w:r>
        <w:rPr>
          <w:rFonts w:ascii="David" w:hAnsi="David" w:cs="David"/>
          <w:sz w:val="24"/>
          <w:szCs w:val="24"/>
        </w:rPr>
        <w:t xml:space="preserve"> </w:t>
      </w:r>
      <w:r>
        <w:rPr>
          <w:rFonts w:ascii="David" w:hAnsi="David" w:cs="David"/>
          <w:sz w:val="24"/>
          <w:szCs w:val="24"/>
          <w:rtl/>
        </w:rPr>
        <w:t xml:space="preserve">[ע"פ 1139/23 </w:t>
      </w:r>
      <w:r>
        <w:rPr>
          <w:rFonts w:ascii="David" w:hAnsi="David" w:cs="David"/>
          <w:b/>
          <w:bCs/>
          <w:sz w:val="24"/>
          <w:szCs w:val="24"/>
          <w:rtl/>
        </w:rPr>
        <w:t>פלוני נ' מדינת ישראל</w:t>
      </w:r>
      <w:r>
        <w:rPr>
          <w:rFonts w:ascii="David" w:hAnsi="David" w:cs="David"/>
          <w:sz w:val="24"/>
          <w:szCs w:val="24"/>
          <w:rtl/>
        </w:rPr>
        <w:t xml:space="preserve"> (13.3.2024) (להלן: </w:t>
      </w:r>
      <w:r>
        <w:rPr>
          <w:rFonts w:ascii="Miriam" w:hAnsi="Miriam" w:cs="Miriam"/>
          <w:b/>
          <w:bCs/>
          <w:sz w:val="24"/>
          <w:szCs w:val="24"/>
          <w:rtl/>
        </w:rPr>
        <w:t>עניין פלוני</w:t>
      </w:r>
      <w:r>
        <w:rPr>
          <w:rFonts w:ascii="David" w:hAnsi="David" w:cs="David"/>
          <w:sz w:val="24"/>
          <w:szCs w:val="24"/>
          <w:rtl/>
        </w:rPr>
        <w:t xml:space="preserve">)]. </w:t>
      </w:r>
    </w:p>
    <w:p w:rsidR="005B163D" w:rsidRDefault="005B163D" w:rsidP="005B163D">
      <w:pPr>
        <w:pStyle w:val="ae"/>
        <w:shd w:val="clear" w:color="auto" w:fill="FFFFFF"/>
        <w:spacing w:after="0" w:line="360" w:lineRule="atLeast"/>
        <w:ind w:left="84" w:firstLine="636"/>
        <w:jc w:val="both"/>
        <w:rPr>
          <w:rFonts w:ascii="FrankRuehl" w:eastAsia="Times New Roman" w:hAnsi="FrankRuehl" w:cs="FrankRuehl"/>
          <w:color w:val="000000"/>
          <w:sz w:val="26"/>
          <w:szCs w:val="26"/>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lastRenderedPageBreak/>
        <w:t xml:space="preserve">על ראייה מסייעת לצורך הרשעה כאמור, לעמוד בשלושה תנאים מצטברים: מקור הראיה צריך שיהיה נפרד ועצמאי מהעדות הדורשת את הסיוע; הראיה צריכה לסבך את הנאשם באחריות לביצוע המעשה; ו-הראיה צריכה לגעת בנקודה הממשית השנויה במחלוקת.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משקל הראיה המסייעת משתנה בהתאם לטיב ולמשקל הראייתי של עדות הקטין. ככל שלעדות הקטין משקל רב יותר, ניתן להסתפק בראייה מסייעת במשקל נמוך יחסית ולהפך [ראו מיני רבים, </w:t>
      </w:r>
      <w:r>
        <w:rPr>
          <w:rFonts w:ascii="David" w:hAnsi="David" w:cs="David"/>
          <w:b/>
          <w:bCs/>
          <w:sz w:val="24"/>
          <w:szCs w:val="24"/>
          <w:rtl/>
        </w:rPr>
        <w:t>עניין פלוני</w:t>
      </w:r>
      <w:r>
        <w:rPr>
          <w:rFonts w:ascii="David" w:hAnsi="David" w:cs="David"/>
          <w:sz w:val="24"/>
          <w:szCs w:val="24"/>
          <w:rtl/>
        </w:rPr>
        <w:t xml:space="preserve">; ע"פ 4447/20 </w:t>
      </w:r>
      <w:r>
        <w:rPr>
          <w:rFonts w:ascii="David" w:hAnsi="David" w:cs="David"/>
          <w:b/>
          <w:bCs/>
          <w:sz w:val="24"/>
          <w:szCs w:val="24"/>
          <w:rtl/>
        </w:rPr>
        <w:t>פלוני נ' מדינת ישראל</w:t>
      </w:r>
      <w:r>
        <w:rPr>
          <w:rFonts w:ascii="David" w:hAnsi="David" w:cs="David"/>
          <w:sz w:val="24"/>
          <w:szCs w:val="24"/>
          <w:rtl/>
        </w:rPr>
        <w:t xml:space="preserve"> (10.1.2022); ע"פ 2686/15 </w:t>
      </w:r>
      <w:r>
        <w:rPr>
          <w:rFonts w:ascii="David" w:hAnsi="David" w:cs="David"/>
          <w:b/>
          <w:bCs/>
          <w:sz w:val="24"/>
          <w:szCs w:val="24"/>
          <w:rtl/>
        </w:rPr>
        <w:t>בנטו נ' מדינת ישראל</w:t>
      </w:r>
      <w:r>
        <w:rPr>
          <w:rFonts w:ascii="David" w:hAnsi="David" w:cs="David"/>
          <w:sz w:val="24"/>
          <w:szCs w:val="24"/>
          <w:rtl/>
        </w:rPr>
        <w:t xml:space="preserve"> (5.3.2017)].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ראיית הסיוע עצמה יכולה לבוא מכל מקור, ובלבד שתענה על התנאים האמורים, כפי שנקבע, למשל, בע"פ 7086/93 </w:t>
      </w:r>
      <w:r>
        <w:rPr>
          <w:rFonts w:ascii="David" w:hAnsi="David" w:cs="David"/>
          <w:b/>
          <w:bCs/>
          <w:sz w:val="24"/>
          <w:szCs w:val="24"/>
          <w:rtl/>
        </w:rPr>
        <w:t>פלוני נ' מדינת ישראל</w:t>
      </w:r>
      <w:r>
        <w:rPr>
          <w:rFonts w:ascii="David" w:hAnsi="David" w:cs="David"/>
          <w:sz w:val="24"/>
          <w:szCs w:val="24"/>
          <w:rtl/>
        </w:rPr>
        <w:t>, פסקה 8 לפסק הדין (1994):</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Ruller4"/>
        <w:numPr>
          <w:ilvl w:val="0"/>
          <w:numId w:val="0"/>
        </w:numPr>
        <w:ind w:left="720" w:right="567"/>
      </w:pPr>
      <w:r>
        <w:rPr>
          <w:rtl/>
        </w:rPr>
        <w:t>"... עדותו של הקטין שנגבתה ונרשמה על ידי חוקר נוער טעונה סיוע בראיה אחרת - ראיה אחרת זו מה טיבה</w:t>
      </w:r>
      <w:r>
        <w:t>?</w:t>
      </w:r>
    </w:p>
    <w:p w:rsidR="005B163D" w:rsidRDefault="005B163D" w:rsidP="005B163D">
      <w:pPr>
        <w:pStyle w:val="Ruller4"/>
        <w:numPr>
          <w:ilvl w:val="0"/>
          <w:numId w:val="0"/>
        </w:numPr>
        <w:ind w:left="720" w:right="567"/>
        <w:rPr>
          <w:rtl/>
        </w:rPr>
      </w:pPr>
      <w:r>
        <w:tab/>
      </w:r>
    </w:p>
    <w:p w:rsidR="005B163D" w:rsidRDefault="005B163D" w:rsidP="005B163D">
      <w:pPr>
        <w:pStyle w:val="Ruller4"/>
        <w:numPr>
          <w:ilvl w:val="0"/>
          <w:numId w:val="0"/>
        </w:numPr>
        <w:ind w:left="720" w:right="567"/>
      </w:pPr>
      <w:r>
        <w:rPr>
          <w:rtl/>
        </w:rPr>
        <w:t xml:space="preserve">אפשר שתהיה זו התוודות או ראשית התוודות, הנשמעת מפיו של הנאשם או משתמעת מכלל גירסתו. יכול שהיא תמצא בראיות אוביקטיביות שנמצאו בשטח. יכול שהיא תוסק מתוך שקרי הנאשם בהצגת גירסתו בבית המשפט. </w:t>
      </w:r>
    </w:p>
    <w:p w:rsidR="005B163D" w:rsidRDefault="005B163D" w:rsidP="005B163D">
      <w:pPr>
        <w:pStyle w:val="Ruller4"/>
        <w:numPr>
          <w:ilvl w:val="0"/>
          <w:numId w:val="0"/>
        </w:numPr>
        <w:ind w:left="720" w:right="567"/>
      </w:pPr>
    </w:p>
    <w:p w:rsidR="005B163D" w:rsidRDefault="005B163D" w:rsidP="005B163D">
      <w:pPr>
        <w:pStyle w:val="Ruller4"/>
        <w:numPr>
          <w:ilvl w:val="0"/>
          <w:numId w:val="0"/>
        </w:numPr>
        <w:ind w:left="720" w:right="567"/>
        <w:rPr>
          <w:rtl/>
        </w:rPr>
      </w:pPr>
      <w:r>
        <w:rPr>
          <w:rtl/>
        </w:rPr>
        <w:t xml:space="preserve">מקובל היה עלינו מאז ומתמיד שראיית סיוע כזו עולה גם מתוך תיאור התנהגותו של קורבן העבירה בהקשר לעבירת המין המיוחסת לנאשם ושעל פי הנטען ביצע בקורבן העבירה. הלך הרוח של הקורבן סמוך לאחר ביצוע העבירה או בסמיכות זמן או בהתייחסות ישירה לארוע הקשור למעשה, שהיה בו כדי להעלות מחדש בתודעת הקורבן את הארוע הטראומטי ולהסעיר את רוחו. (ראה ע"פ  556/74 </w:t>
      </w:r>
      <w:r>
        <w:rPr>
          <w:b/>
          <w:bCs/>
          <w:rtl/>
        </w:rPr>
        <w:t>פדידה נ' מדינת ישראל</w:t>
      </w:r>
      <w:r>
        <w:rPr>
          <w:rtl/>
        </w:rPr>
        <w:t xml:space="preserve">, פ"ד כט (2) </w:t>
      </w:r>
      <w:r>
        <w:t>387</w:t>
      </w:r>
      <w:r>
        <w:rPr>
          <w:rtl/>
        </w:rPr>
        <w:t>,</w:t>
      </w:r>
      <w:r>
        <w:t>389</w:t>
      </w:r>
      <w:r>
        <w:rPr>
          <w:rtl/>
        </w:rPr>
        <w:t xml:space="preserve">; ע"פ  435/78 </w:t>
      </w:r>
      <w:r>
        <w:rPr>
          <w:b/>
          <w:bCs/>
          <w:rtl/>
        </w:rPr>
        <w:t>בגין נ' מדינת ישראל</w:t>
      </w:r>
      <w:r>
        <w:rPr>
          <w:rtl/>
        </w:rPr>
        <w:t xml:space="preserve">, פ"ד לב (3) </w:t>
      </w:r>
      <w:r>
        <w:t>169</w:t>
      </w:r>
      <w:r>
        <w:rPr>
          <w:rtl/>
        </w:rPr>
        <w:t xml:space="preserve">, </w:t>
      </w:r>
      <w:r>
        <w:t>174</w:t>
      </w:r>
      <w:r>
        <w:rPr>
          <w:rtl/>
        </w:rPr>
        <w:t xml:space="preserve">; ע"פ  147/79 </w:t>
      </w:r>
      <w:r>
        <w:rPr>
          <w:b/>
          <w:bCs/>
          <w:rtl/>
        </w:rPr>
        <w:t>קובו נ' מדינת ישראל</w:t>
      </w:r>
      <w:r>
        <w:rPr>
          <w:rtl/>
        </w:rPr>
        <w:t xml:space="preserve">, פ"ד לג (3) </w:t>
      </w:r>
      <w:r>
        <w:t>721</w:t>
      </w:r>
      <w:r>
        <w:rPr>
          <w:rtl/>
        </w:rPr>
        <w:t xml:space="preserve">, </w:t>
      </w:r>
      <w:r>
        <w:t>726</w:t>
      </w:r>
      <w:r>
        <w:rPr>
          <w:rtl/>
        </w:rPr>
        <w:t>).</w:t>
      </w:r>
    </w:p>
    <w:p w:rsidR="005B163D" w:rsidRDefault="005B163D" w:rsidP="005B163D">
      <w:pPr>
        <w:pStyle w:val="Ruller4"/>
        <w:numPr>
          <w:ilvl w:val="0"/>
          <w:numId w:val="0"/>
        </w:numPr>
        <w:ind w:left="720" w:right="567"/>
        <w:rPr>
          <w:rtl/>
        </w:rPr>
      </w:pPr>
      <w:r>
        <w:rPr>
          <w:rtl/>
        </w:rPr>
        <w:t>הדוגמאות יכולות להיות רבות ומגוונות והעיקר הוא בכך שראיית הסיוע תהיה</w:t>
      </w:r>
    </w:p>
    <w:p w:rsidR="005B163D" w:rsidRDefault="005B163D" w:rsidP="005B163D">
      <w:pPr>
        <w:pStyle w:val="Ruller4"/>
        <w:numPr>
          <w:ilvl w:val="0"/>
          <w:numId w:val="0"/>
        </w:numPr>
        <w:ind w:left="720" w:right="567"/>
        <w:rPr>
          <w:rFonts w:ascii="David" w:hAnsi="David" w:cs="David"/>
          <w:szCs w:val="24"/>
          <w:rtl/>
        </w:rPr>
      </w:pPr>
      <w:r>
        <w:rPr>
          <w:rtl/>
        </w:rPr>
        <w:lastRenderedPageBreak/>
        <w:t xml:space="preserve">ממקור עצמאי ולא מתוך העדות הטעונה סיוע במובן זה או אחר..." </w:t>
      </w: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u w:val="single"/>
          <w:rtl/>
        </w:rPr>
        <w:t>מעשים דומים</w:t>
      </w:r>
      <w:r>
        <w:rPr>
          <w:rFonts w:ascii="David" w:hAnsi="David" w:cs="David"/>
          <w:sz w:val="24"/>
          <w:szCs w:val="24"/>
          <w:rtl/>
        </w:rPr>
        <w:t xml:space="preserve"> שביצע הנאשם יכולים לשמש ראיית סיוע. אולם הדמיון הדרוש צריך שיהיה מוחשי ונדרשים קווים ברורים ומובהקים היוצרים מכנה משותף בין הנסיבות הייחודיות של העדות הדורשת סיוע לעדות המסייעת. אין להסתפק בדמיון כללי גרידא [ראו ע"פ 8579/20 </w:t>
      </w:r>
      <w:r>
        <w:rPr>
          <w:rFonts w:ascii="David" w:hAnsi="David" w:cs="David"/>
          <w:b/>
          <w:bCs/>
          <w:sz w:val="24"/>
          <w:szCs w:val="24"/>
          <w:rtl/>
        </w:rPr>
        <w:t>פלוני נ' מדינת ישראל</w:t>
      </w:r>
      <w:r>
        <w:rPr>
          <w:rFonts w:ascii="David" w:hAnsi="David" w:cs="David"/>
          <w:sz w:val="24"/>
          <w:szCs w:val="24"/>
          <w:rtl/>
        </w:rPr>
        <w:t xml:space="preserve"> (29.3.2022); דברי כב' השופט א' שטיין בע"פ 4447/20 </w:t>
      </w:r>
      <w:r>
        <w:rPr>
          <w:rFonts w:ascii="David" w:hAnsi="David" w:cs="David"/>
          <w:b/>
          <w:bCs/>
          <w:sz w:val="24"/>
          <w:szCs w:val="24"/>
          <w:rtl/>
        </w:rPr>
        <w:t>פלוני נ' מדינת ישראל</w:t>
      </w:r>
      <w:r>
        <w:rPr>
          <w:rFonts w:ascii="David" w:hAnsi="David" w:cs="David"/>
          <w:sz w:val="24"/>
          <w:szCs w:val="24"/>
          <w:rtl/>
        </w:rPr>
        <w:t xml:space="preserve"> (10.1.2022) (פיסקה 10), דברי כב' השופט א' שטיין בע"פ 4447/20 </w:t>
      </w:r>
      <w:r>
        <w:rPr>
          <w:rFonts w:ascii="David" w:hAnsi="David" w:cs="David"/>
          <w:b/>
          <w:bCs/>
          <w:sz w:val="24"/>
          <w:szCs w:val="24"/>
          <w:rtl/>
        </w:rPr>
        <w:t>פלוני נ' מדינת ישראל</w:t>
      </w:r>
      <w:r>
        <w:rPr>
          <w:rFonts w:ascii="David" w:hAnsi="David" w:cs="David"/>
          <w:sz w:val="24"/>
          <w:szCs w:val="24"/>
          <w:rtl/>
        </w:rPr>
        <w:t xml:space="preserve"> (10.1.2022) (פסקה 10) וכן יניב ואקי, </w:t>
      </w:r>
      <w:r>
        <w:rPr>
          <w:rFonts w:ascii="David" w:hAnsi="David" w:cs="David"/>
          <w:b/>
          <w:bCs/>
          <w:sz w:val="24"/>
          <w:szCs w:val="24"/>
          <w:rtl/>
        </w:rPr>
        <w:t>דיני ראיות</w:t>
      </w:r>
      <w:r>
        <w:rPr>
          <w:rFonts w:ascii="David" w:hAnsi="David" w:cs="David"/>
          <w:sz w:val="24"/>
          <w:szCs w:val="24"/>
          <w:rtl/>
        </w:rPr>
        <w:t>, כרך ג', עמ' 1488 (2021)].</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המאשימה בקשה אותנו לסווג את המעשים שביצע הנאשם במתלוננת ב.ב באישום השני ואלה שביצע בעדה ק', כ"מעשים דומים", מן הסוג שיכול לסייע לעדות הקטינה באישום הראשון.</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דעתי שונה. המעשים שהנאשם ביצע ב-ק' וב-ב.ב אינם דומים דיים למעשים שביצע, על פי הנטען, בקטינה (פרט לכך שעסקינן במעשים מיניים). אף לא מצאתי כי מתקיים דמיון מספק, להבדיל מדמיון כללי, בין יתר הנסיבות של אותם מקרים לנסיבות כאן: הקטינה כאן טענה שהמעשים בוצעו בה בגיל צעיר משמעותית מהגיל בו בוצעו המעשים ב-ב.ב וב-ק', וגם טיב הקשר בין הנאשם לבין הקטינה לא היה דומה מספיק לטיב הקשרים שהיו לו עם הקטינות האחרות, והמעשים לא נעשו בביתו כשבאה לבקרו, אלא בחדרה.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u w:val="single"/>
          <w:rtl/>
        </w:rPr>
        <w:t>יומן אישי</w:t>
      </w:r>
      <w:r>
        <w:rPr>
          <w:rFonts w:ascii="David" w:hAnsi="David" w:cs="David"/>
          <w:sz w:val="24"/>
          <w:szCs w:val="24"/>
          <w:rtl/>
        </w:rPr>
        <w:t xml:space="preserve"> שכתב נפגע עבירת מין בשעת מעשה יכול במקרים המתאימים לשמש חיזוק ואף סיוע לעדות העיקרית [ע"פ 3416/98 </w:t>
      </w:r>
      <w:r>
        <w:rPr>
          <w:rFonts w:ascii="David" w:hAnsi="David" w:cs="David"/>
          <w:b/>
          <w:bCs/>
          <w:sz w:val="24"/>
          <w:szCs w:val="24"/>
          <w:rtl/>
        </w:rPr>
        <w:t>איפרגן נ' מדינת ישראל</w:t>
      </w:r>
      <w:r>
        <w:rPr>
          <w:rFonts w:ascii="David" w:hAnsi="David" w:cs="David"/>
          <w:sz w:val="24"/>
          <w:szCs w:val="24"/>
          <w:rtl/>
        </w:rPr>
        <w:t xml:space="preserve">, פ"ד נד(4) 769, 786-783 (2000); ע"פ 6214/94 </w:t>
      </w:r>
      <w:r>
        <w:rPr>
          <w:rFonts w:ascii="David" w:hAnsi="David" w:cs="David"/>
          <w:b/>
          <w:bCs/>
          <w:sz w:val="24"/>
          <w:szCs w:val="24"/>
          <w:rtl/>
        </w:rPr>
        <w:t>מדינת ישראל נ' פלוני</w:t>
      </w:r>
      <w:r>
        <w:rPr>
          <w:rFonts w:ascii="David" w:hAnsi="David" w:cs="David"/>
          <w:sz w:val="24"/>
          <w:szCs w:val="24"/>
          <w:rtl/>
        </w:rPr>
        <w:t xml:space="preserve">, פסקה 12 (1995)].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במהלך החקירה צילמה המשטרה (ת/19) את שלושת הדפים הכתובים שכלל </w:t>
      </w:r>
      <w:r>
        <w:rPr>
          <w:rFonts w:ascii="David" w:hAnsi="David" w:cs="David"/>
          <w:sz w:val="24"/>
          <w:szCs w:val="24"/>
          <w:u w:val="single"/>
          <w:rtl/>
        </w:rPr>
        <w:t>יומן שכתבה הקטינה</w:t>
      </w:r>
      <w:r>
        <w:rPr>
          <w:rFonts w:ascii="David" w:hAnsi="David" w:cs="David"/>
          <w:sz w:val="24"/>
          <w:szCs w:val="24"/>
          <w:rtl/>
        </w:rPr>
        <w:t xml:space="preserve"> (ת/18). בדפים המצולמים כתבה הקטינה, בין היתר, כך</w:t>
      </w:r>
      <w:r>
        <w:rPr>
          <w:rFonts w:ascii="Miriam" w:hAnsi="Miriam" w:cs="Miriam"/>
          <w:sz w:val="24"/>
          <w:szCs w:val="24"/>
          <w:rtl/>
        </w:rPr>
        <w:t>: "היי יומן... עברתי אונס מישהו בשם אורי הוא היה חבר של אמא שלי ואחרי חודשיים הוא התחיל להטריד אותי. בפעם הראשונה שהוא עשה את זה הוא בא לשים כביסה בחדר שלו ואז הוא ישב לידי ולא הבנתי למה הוא יושב לידי ואחרי כמה דקות הוא התחיל לגעת לי בפיפי והא עשה לי את זה חמש פעמים ואז יום אחד אמרתי לאמא ואמרתי לה שזה קרה ופחדתי אבל אחר חודשיים אמרתי להם ואז אחרי זה אמרתי לאמא שלי...</w:t>
      </w:r>
      <w:r>
        <w:rPr>
          <w:rFonts w:ascii="David" w:hAnsi="David" w:cs="David"/>
          <w:sz w:val="24"/>
          <w:szCs w:val="24"/>
          <w:rtl/>
        </w:rPr>
        <w:t xml:space="preserve">".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b/>
          <w:bCs/>
          <w:sz w:val="24"/>
          <w:szCs w:val="24"/>
          <w:rtl/>
        </w:rPr>
        <w:t>אף על פי שתכני היומן תואמים, בקווים כלליים, את עדות הקטינה, אינני סבור כי יהיה זה נכון לראות בהם ראיית סיוע לעדותה</w:t>
      </w:r>
      <w:r>
        <w:rPr>
          <w:rFonts w:ascii="David" w:hAnsi="David" w:cs="David"/>
          <w:sz w:val="24"/>
          <w:szCs w:val="24"/>
          <w:rtl/>
        </w:rPr>
        <w:t xml:space="preserve">. זאת משום שתכנים אלה כלליים למדי, הקטינה לא </w:t>
      </w:r>
      <w:r>
        <w:rPr>
          <w:rFonts w:ascii="David" w:hAnsi="David" w:cs="David"/>
          <w:sz w:val="24"/>
          <w:szCs w:val="24"/>
          <w:rtl/>
        </w:rPr>
        <w:lastRenderedPageBreak/>
        <w:t xml:space="preserve">נחקרה אודות היומן במסגרת חקירת הילדים שעברה, ונוסף על אלה – בראש הדף השני שצילמה החוקרת רשמה הקטינה את התאריך 2.4.2021, כך שנראה כי היומן לא נרשם בסמוך למעשים.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לעומת אלה, </w:t>
      </w:r>
      <w:r>
        <w:rPr>
          <w:rFonts w:ascii="David" w:hAnsi="David" w:cs="David"/>
          <w:sz w:val="24"/>
          <w:szCs w:val="24"/>
          <w:u w:val="single"/>
          <w:rtl/>
        </w:rPr>
        <w:t>עדויות אם הקטינה וסבתהּ על מצבה הנפשי של הקטינה בעת מעשה ובעת חשיפתו מספקות את דרישת הסיוע לעדויות הקטינה</w:t>
      </w:r>
      <w:r>
        <w:rPr>
          <w:rFonts w:ascii="David" w:hAnsi="David" w:cs="David"/>
          <w:sz w:val="24"/>
          <w:szCs w:val="24"/>
          <w:rtl/>
        </w:rPr>
        <w:t>.</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כפי שנפסק בעניין </w:t>
      </w:r>
      <w:r>
        <w:rPr>
          <w:rFonts w:ascii="David" w:hAnsi="David" w:cs="David"/>
          <w:b/>
          <w:bCs/>
          <w:sz w:val="24"/>
          <w:szCs w:val="24"/>
          <w:rtl/>
        </w:rPr>
        <w:t>פלוני</w:t>
      </w:r>
      <w:r>
        <w:rPr>
          <w:rFonts w:ascii="David" w:hAnsi="David" w:cs="David"/>
          <w:sz w:val="24"/>
          <w:szCs w:val="24"/>
          <w:rtl/>
        </w:rPr>
        <w:t xml:space="preserve"> (פסקה 78):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Ruller4"/>
        <w:numPr>
          <w:ilvl w:val="0"/>
          <w:numId w:val="0"/>
        </w:numPr>
        <w:ind w:left="720" w:right="567"/>
        <w:rPr>
          <w:rtl/>
        </w:rPr>
      </w:pPr>
      <w:r>
        <w:rPr>
          <w:rtl/>
        </w:rPr>
        <w:t xml:space="preserve">"... הלכה היא כי התדרדרות במצבה הנפשי של קורבן עבירת מין, הן במהלך הפגיעות והן בעקבות החשיפה, עשויה לשמש כסיוע לעדותה, כאשר הסיבה לכך טמונה בתפיסה שמצבו הנפשי של קורבן העבירה אינו נתון לשליטתו, ולפיכך הוא נחשב לראיה חיצונית לעדות וממקור עצמאי (ע"פ 5149/12 </w:t>
      </w:r>
      <w:r>
        <w:rPr>
          <w:rFonts w:ascii="Century" w:hAnsi="Century" w:cs="Miriam"/>
          <w:b/>
          <w:spacing w:val="0"/>
          <w:sz w:val="22"/>
          <w:szCs w:val="24"/>
          <w:rtl/>
        </w:rPr>
        <w:t>פלוני נ' מדינת ישראל</w:t>
      </w:r>
      <w:r>
        <w:rPr>
          <w:rtl/>
        </w:rPr>
        <w:t xml:space="preserve">, פסקה 82 (13.1.2014); ע"פ 5348/15 </w:t>
      </w:r>
      <w:r>
        <w:rPr>
          <w:rFonts w:ascii="Century" w:hAnsi="Century" w:cs="Miriam"/>
          <w:b/>
          <w:spacing w:val="0"/>
          <w:sz w:val="22"/>
          <w:szCs w:val="24"/>
          <w:rtl/>
        </w:rPr>
        <w:t>פלוני נ' מדינת ישראל</w:t>
      </w:r>
      <w:r>
        <w:rPr>
          <w:rtl/>
        </w:rPr>
        <w:t xml:space="preserve">, פסקה 28 (3.4.2016) (להלן: </w:t>
      </w:r>
      <w:r>
        <w:rPr>
          <w:rFonts w:ascii="Century" w:hAnsi="Century" w:cs="Miriam"/>
          <w:b/>
          <w:spacing w:val="0"/>
          <w:sz w:val="22"/>
          <w:szCs w:val="24"/>
          <w:rtl/>
        </w:rPr>
        <w:t>ע"פ 5348/15</w:t>
      </w:r>
      <w:r>
        <w:rPr>
          <w:rtl/>
        </w:rPr>
        <w:t xml:space="preserve">)). יחד עם זאת, נקבע כי לא כל מצב נפשי או רגשי די בו כדי לקיים את דרישת הסיוע, שכן נדרש כי מצב נפשי זה יהיה ניכר וגלוי לעין (ע"פ 5348/15, בפסקה 28; ע"פ 4447/20, בפסקה 11). כן יצוין, כי הובעה בפסיקה עמדה לפיה על מנת שמצב נפשי ייחשב כסיוע, עליו להתקיים בעת ובעונה אחת עם הפגיעה עצמה, או בסמוך לה, או ברגע בו נפרשת ההזדמנות הראשונה להתלונן עליה, כאשר לא ניתן להסתפק במצב נפשי הנוגע לשלב החשיפה, אך לא מקיים סמיכות זמנים בינה לבין מעשה העבירה (ראו את חוות דעתו של השופט </w:t>
      </w:r>
      <w:r>
        <w:rPr>
          <w:rFonts w:ascii="Century" w:hAnsi="Century" w:cs="Miriam"/>
          <w:b/>
          <w:spacing w:val="0"/>
          <w:sz w:val="22"/>
          <w:szCs w:val="24"/>
          <w:rtl/>
        </w:rPr>
        <w:t>אלכס שטיין</w:t>
      </w:r>
      <w:r>
        <w:rPr>
          <w:rtl/>
        </w:rPr>
        <w:t xml:space="preserve"> בע"פ 6808/18 </w:t>
      </w:r>
      <w:r>
        <w:rPr>
          <w:rFonts w:ascii="Century" w:hAnsi="Century" w:cs="Miriam"/>
          <w:b/>
          <w:spacing w:val="0"/>
          <w:sz w:val="22"/>
          <w:szCs w:val="24"/>
          <w:rtl/>
        </w:rPr>
        <w:t>פלוני נ' מדינת ישראל</w:t>
      </w:r>
      <w:r>
        <w:rPr>
          <w:rtl/>
        </w:rPr>
        <w:t xml:space="preserve"> (16.5.2019) (ובייחוד פסקה 25)).</w:t>
      </w:r>
    </w:p>
    <w:p w:rsidR="005B163D" w:rsidRDefault="005B163D" w:rsidP="005B163D">
      <w:pPr>
        <w:shd w:val="clear" w:color="auto" w:fill="FFFFFF"/>
        <w:spacing w:line="360" w:lineRule="atLeast"/>
        <w:jc w:val="both"/>
        <w:rPr>
          <w:rFonts w:ascii="David" w:hAnsi="David"/>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מן העדויות שנשמעו לפנינו עולה, כאמור לעיל, כי בתקופה בה בוצעו בה מעשי הנאשם ירדה הקטינה במשקלה </w:t>
      </w:r>
      <w:r>
        <w:rPr>
          <w:rFonts w:ascii="David" w:eastAsia="Times New Roman" w:hAnsi="David" w:cs="David"/>
          <w:color w:val="000000"/>
          <w:sz w:val="24"/>
          <w:szCs w:val="24"/>
          <w:rtl/>
        </w:rPr>
        <w:t>וסבלה מהפסקות דיבור, הקאות וחרדות לילה. בנוסף החלה לגמגם ובלילות הייתה משתנקת. הקטינה אף איימה לפגוע בעצמה ופעם אחת הגיעו עמה לבית חולים בשל כך (עדות האם, עמ' 269). בין לבין התבטאה כי אין היא רוצה עוד שהנאשם יבוא אליהם הביתה</w:t>
      </w:r>
      <w:r>
        <w:rPr>
          <w:rFonts w:ascii="David" w:hAnsi="David" w:cs="David"/>
          <w:sz w:val="24"/>
          <w:szCs w:val="24"/>
          <w:rtl/>
        </w:rPr>
        <w:t xml:space="preserve">. </w:t>
      </w:r>
      <w:r>
        <w:rPr>
          <w:rFonts w:ascii="David" w:eastAsia="Times New Roman" w:hAnsi="David" w:cs="David"/>
          <w:color w:val="000000"/>
          <w:sz w:val="24"/>
          <w:szCs w:val="24"/>
          <w:rtl/>
        </w:rPr>
        <w:t>הקטינה הייתה "</w:t>
      </w:r>
      <w:r>
        <w:rPr>
          <w:rFonts w:ascii="Miriam" w:eastAsia="Times New Roman" w:hAnsi="Miriam" w:cs="Miriam"/>
          <w:color w:val="000000"/>
          <w:sz w:val="24"/>
          <w:szCs w:val="24"/>
          <w:rtl/>
        </w:rPr>
        <w:t>נכנסת לחרדות"</w:t>
      </w:r>
      <w:r>
        <w:rPr>
          <w:rFonts w:ascii="David" w:eastAsia="Times New Roman" w:hAnsi="David" w:cs="David"/>
          <w:color w:val="000000"/>
          <w:sz w:val="24"/>
          <w:szCs w:val="24"/>
          <w:rtl/>
        </w:rPr>
        <w:t xml:space="preserve"> כאשר נתקלה בשמו של הנאשם.</w:t>
      </w:r>
      <w:r>
        <w:rPr>
          <w:rFonts w:ascii="David" w:hAnsi="David" w:cs="David"/>
          <w:sz w:val="24"/>
          <w:szCs w:val="24"/>
          <w:rtl/>
        </w:rPr>
        <w:t xml:space="preserve"> נוסף על כל אלה, בעת החשיפה הראשונה בפני סבתהּ הייתה הקטינה נסערת ובוכייה. </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ביטויים רגשיים קשים אלה נוגעים הן לשלב בו בוצעו המעשים בקטינה בת ה-8, הן לשלב החשיפה, והם מקיימים לדעתי את דרישת הסיוע לעדותה.</w:t>
      </w: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u w:val="single"/>
          <w:rtl/>
        </w:rPr>
        <w:t>ראיית סיוע נוספת ניתן למצוא בהסכמתו של הנאשם להעביר ל-מ' כספים עבור טיפול פסיכולוגי בקטינה, ובדברים שאמר בשיחה המוקלטת ת/15</w:t>
      </w:r>
      <w:r>
        <w:rPr>
          <w:rFonts w:ascii="David" w:hAnsi="David" w:cs="David"/>
          <w:sz w:val="24"/>
          <w:szCs w:val="24"/>
          <w:rtl/>
        </w:rPr>
        <w:t xml:space="preserve"> (ראו לעיל). משנדחה הסברו התמים של הנאשם להעברות כספים אלה ניתן לראות במעשהו זה משום ראשית הודאה במעשה שעשה.</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Pr>
      </w:pPr>
      <w:r>
        <w:rPr>
          <w:rFonts w:ascii="David" w:hAnsi="David" w:cs="David"/>
          <w:sz w:val="24"/>
          <w:szCs w:val="24"/>
          <w:rtl/>
        </w:rPr>
        <w:t xml:space="preserve">זאת ועוד. </w:t>
      </w:r>
      <w:r>
        <w:rPr>
          <w:rFonts w:ascii="David" w:hAnsi="David" w:cs="David"/>
          <w:sz w:val="24"/>
          <w:szCs w:val="24"/>
          <w:u w:val="single"/>
          <w:rtl/>
        </w:rPr>
        <w:t>במהלך החקירה ובעיקר בעדותו לפנינו אישר הנאשם מגע פיזי בלתי מותאם בינו לבין הקטינה</w:t>
      </w:r>
      <w:r>
        <w:rPr>
          <w:rFonts w:ascii="David" w:hAnsi="David" w:cs="David"/>
          <w:sz w:val="24"/>
          <w:szCs w:val="24"/>
          <w:rtl/>
        </w:rPr>
        <w:t xml:space="preserve"> – מגע שתואם חלקים מהותיים מגרסתה של הקטינה לפני חוקרת הילדים, כפי שבאה לידי ביטוי בכתב האישום: הנאשם אישר קיומה של </w:t>
      </w:r>
      <w:r>
        <w:rPr>
          <w:rFonts w:ascii="David" w:hAnsi="David" w:cs="David"/>
          <w:b/>
          <w:bCs/>
          <w:sz w:val="24"/>
          <w:szCs w:val="24"/>
          <w:rtl/>
        </w:rPr>
        <w:t>נשיקה על השפתיים</w:t>
      </w:r>
      <w:r>
        <w:rPr>
          <w:rFonts w:ascii="David" w:hAnsi="David" w:cs="David"/>
          <w:sz w:val="24"/>
          <w:szCs w:val="24"/>
          <w:rtl/>
        </w:rPr>
        <w:t xml:space="preserve"> (אם כי לגרסתו הייתה זו הקטינה שיזמה את הנשיקה) – סעיף 12 לאישום הראשון; הוא אישר, באיחור רב, </w:t>
      </w:r>
      <w:r>
        <w:rPr>
          <w:rFonts w:ascii="David" w:hAnsi="David" w:cs="David"/>
          <w:b/>
          <w:bCs/>
          <w:sz w:val="24"/>
          <w:szCs w:val="24"/>
          <w:rtl/>
        </w:rPr>
        <w:t>שנגע לקטינה בבטן</w:t>
      </w:r>
      <w:r>
        <w:rPr>
          <w:rFonts w:ascii="David" w:hAnsi="David" w:cs="David"/>
          <w:sz w:val="24"/>
          <w:szCs w:val="24"/>
          <w:rtl/>
        </w:rPr>
        <w:t xml:space="preserve"> (אך זאת באופן תמים, כחלק ממשחק, ולא מעבר לכך) – סעיף 6 לאישום הראשון; וגם אישר </w:t>
      </w:r>
      <w:r>
        <w:rPr>
          <w:rFonts w:ascii="David" w:hAnsi="David" w:cs="David"/>
          <w:b/>
          <w:bCs/>
          <w:sz w:val="24"/>
          <w:szCs w:val="24"/>
          <w:rtl/>
        </w:rPr>
        <w:t>מגע של הקטינה באזור חלציו</w:t>
      </w:r>
      <w:r>
        <w:rPr>
          <w:rFonts w:ascii="David" w:hAnsi="David" w:cs="David"/>
          <w:sz w:val="24"/>
          <w:szCs w:val="24"/>
          <w:rtl/>
        </w:rPr>
        <w:t xml:space="preserve"> (מתן אגרופים בין הרגליים) – סעיפים 10 ו-11 לאישום הראשון. </w:t>
      </w:r>
    </w:p>
    <w:p w:rsidR="005B163D" w:rsidRDefault="005B163D" w:rsidP="005B163D">
      <w:pPr>
        <w:pStyle w:val="ae"/>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Pr>
      </w:pPr>
      <w:r>
        <w:rPr>
          <w:rFonts w:ascii="David" w:hAnsi="David" w:cs="David"/>
          <w:sz w:val="24"/>
          <w:szCs w:val="24"/>
          <w:rtl/>
        </w:rPr>
        <w:t xml:space="preserve">גרסתו בנוגע לתמימות המגע שהוא עצמו מאשר שהתקיים בינו לבין הקטינה – נדחתה. </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shd w:val="clear" w:color="auto" w:fill="FFFFFF"/>
        <w:spacing w:after="0" w:line="360" w:lineRule="atLeast"/>
        <w:ind w:left="84" w:firstLine="636"/>
        <w:jc w:val="both"/>
        <w:rPr>
          <w:rFonts w:ascii="David" w:hAnsi="David" w:cs="David"/>
          <w:sz w:val="24"/>
          <w:szCs w:val="24"/>
          <w:rtl/>
        </w:rPr>
      </w:pPr>
      <w:r>
        <w:rPr>
          <w:rFonts w:ascii="David" w:hAnsi="David" w:cs="David"/>
          <w:sz w:val="24"/>
          <w:szCs w:val="24"/>
          <w:rtl/>
        </w:rPr>
        <w:t xml:space="preserve">דעתי היא כי עדות זו של הנאשם מספקת תמיכה חיצונית לעדות הקטינה, ובהתחשב ברוחבה העצום של יריעת המחלוקת יש בה כדי לסבך את הנאשם בביצוע העבירה. אשר על כן, </w:t>
      </w:r>
      <w:r>
        <w:rPr>
          <w:rFonts w:ascii="David" w:hAnsi="David" w:cs="David"/>
          <w:sz w:val="24"/>
          <w:szCs w:val="24"/>
          <w:u w:val="single"/>
          <w:rtl/>
        </w:rPr>
        <w:t>גם ראיה זו יכולה לשמש הסיוע הנדרש לעדות הקטינה</w:t>
      </w:r>
      <w:r>
        <w:rPr>
          <w:rFonts w:ascii="David" w:hAnsi="David" w:cs="David"/>
          <w:sz w:val="24"/>
          <w:szCs w:val="24"/>
          <w:rtl/>
        </w:rPr>
        <w:t>.</w:t>
      </w:r>
    </w:p>
    <w:p w:rsidR="005B163D" w:rsidRDefault="005B163D" w:rsidP="005B163D">
      <w:pPr>
        <w:pStyle w:val="ae"/>
        <w:shd w:val="clear" w:color="auto" w:fill="FFFFFF"/>
        <w:spacing w:after="0" w:line="360" w:lineRule="atLeast"/>
        <w:ind w:left="84"/>
        <w:jc w:val="both"/>
        <w:rPr>
          <w:rFonts w:ascii="David" w:hAnsi="David" w:cs="David"/>
          <w:sz w:val="24"/>
          <w:szCs w:val="24"/>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שקרים ששיקר נאשם בקשר לעבירה, אם הם ברורים ומהותיים והופרכו על ידי ראיה עצמאית, יכולים אף הם לשמש ראיית סיוע [ראו, למשל, ע"פ 5209/20 </w:t>
      </w:r>
      <w:r>
        <w:rPr>
          <w:rFonts w:ascii="David" w:hAnsi="David" w:cs="David"/>
          <w:b/>
          <w:bCs/>
          <w:sz w:val="24"/>
          <w:szCs w:val="24"/>
          <w:rtl/>
        </w:rPr>
        <w:t>מדינת ישראל נ' פלוני</w:t>
      </w:r>
      <w:r>
        <w:rPr>
          <w:rFonts w:ascii="David" w:hAnsi="David" w:cs="David"/>
          <w:sz w:val="24"/>
          <w:szCs w:val="24"/>
          <w:rtl/>
        </w:rPr>
        <w:t xml:space="preserve"> (12.07.2022); ע"פ 4490/23 </w:t>
      </w:r>
      <w:r>
        <w:rPr>
          <w:rFonts w:ascii="David" w:hAnsi="David" w:cs="David"/>
          <w:b/>
          <w:bCs/>
          <w:sz w:val="24"/>
          <w:szCs w:val="24"/>
          <w:rtl/>
        </w:rPr>
        <w:t>פלוני נ' מדינת ישראל</w:t>
      </w:r>
      <w:r>
        <w:rPr>
          <w:rFonts w:ascii="David" w:hAnsi="David" w:cs="David"/>
          <w:sz w:val="24"/>
          <w:szCs w:val="24"/>
          <w:rtl/>
        </w:rPr>
        <w:t xml:space="preserve"> (16.6.2024)]. </w:t>
      </w:r>
    </w:p>
    <w:p w:rsidR="005B163D" w:rsidRDefault="005B163D" w:rsidP="005B163D">
      <w:pPr>
        <w:pStyle w:val="ae"/>
        <w:shd w:val="clear" w:color="auto" w:fill="FFFFFF"/>
        <w:spacing w:after="0" w:line="360" w:lineRule="atLeast"/>
        <w:ind w:left="84"/>
        <w:jc w:val="both"/>
        <w:rPr>
          <w:rFonts w:ascii="David" w:hAnsi="David" w:cs="David"/>
          <w:b/>
          <w:bCs/>
          <w:sz w:val="24"/>
          <w:szCs w:val="24"/>
          <w:u w:val="single"/>
        </w:rPr>
      </w:pPr>
    </w:p>
    <w:p w:rsidR="005B163D" w:rsidRDefault="005B163D" w:rsidP="005B163D">
      <w:pPr>
        <w:shd w:val="clear" w:color="auto" w:fill="FFFFFF"/>
        <w:spacing w:line="360" w:lineRule="atLeast"/>
        <w:ind w:firstLine="720"/>
        <w:jc w:val="both"/>
        <w:rPr>
          <w:rFonts w:ascii="David" w:hAnsi="David"/>
          <w:rtl/>
        </w:rPr>
      </w:pPr>
      <w:r>
        <w:rPr>
          <w:rFonts w:ascii="David" w:hAnsi="David"/>
          <w:u w:val="single"/>
          <w:rtl/>
        </w:rPr>
        <w:t>כמפורט לעיל הנאשם נתפס במספר שקרים משמעותיים, ואפשר בהחלט שאחד מהם יכול לענות, כשלעצמו, על דרישת הסיוע</w:t>
      </w:r>
      <w:r>
        <w:rPr>
          <w:rFonts w:ascii="David" w:hAnsi="David"/>
          <w:rtl/>
        </w:rPr>
        <w:t>. כוונתי לטענתו כי הקטינה הפלילה אותו בביצוע המעשה משום שרצתה להוציאו מהבית, בתקופה בה הכול מסכימים שלא התגורר אצל אם הקטינה. זהו שקר ברור ומהותי, שהופרך באופן אובייקטיבי. כאשר הנאשם מסר גרסה זו כוונתו הייתה לבדות עבור הקטינה מניע שקרי להגשת התלונה, ועל כן נראה שהוא מן הסוג שיכול לעלות בנסיבות העניין כדי הסיוע הנדרש.</w:t>
      </w:r>
    </w:p>
    <w:p w:rsidR="005B163D" w:rsidRDefault="005B163D" w:rsidP="005B163D">
      <w:pPr>
        <w:shd w:val="clear" w:color="auto" w:fill="FFFFFF"/>
        <w:spacing w:line="360" w:lineRule="atLeast"/>
        <w:ind w:firstLine="720"/>
        <w:jc w:val="both"/>
        <w:rPr>
          <w:rFonts w:ascii="David" w:hAnsi="David"/>
          <w:rtl/>
        </w:rPr>
      </w:pPr>
    </w:p>
    <w:p w:rsidR="005B163D" w:rsidRDefault="005B163D" w:rsidP="005B163D">
      <w:pPr>
        <w:shd w:val="clear" w:color="auto" w:fill="FFFFFF"/>
        <w:spacing w:line="360" w:lineRule="atLeast"/>
        <w:ind w:firstLine="720"/>
        <w:jc w:val="both"/>
        <w:rPr>
          <w:rFonts w:ascii="David" w:hAnsi="David"/>
          <w:rtl/>
        </w:rPr>
      </w:pPr>
      <w:r>
        <w:rPr>
          <w:rFonts w:ascii="David" w:hAnsi="David"/>
          <w:rtl/>
        </w:rPr>
        <w:lastRenderedPageBreak/>
        <w:t xml:space="preserve">לא אקבע מסמרות בדבר, משום שדרישת הסיוע לעדות הקטינה אודות המעשים המפורטים באישום הראשון, נענתה על ידי ראיות רבות אחרות. </w:t>
      </w:r>
    </w:p>
    <w:p w:rsidR="005B163D" w:rsidRDefault="005B163D" w:rsidP="005B163D">
      <w:pPr>
        <w:shd w:val="clear" w:color="auto" w:fill="FFFFFF"/>
        <w:spacing w:line="360" w:lineRule="atLeast"/>
        <w:jc w:val="both"/>
        <w:rPr>
          <w:rFonts w:ascii="David" w:hAnsi="David"/>
          <w:rtl/>
        </w:rPr>
      </w:pPr>
    </w:p>
    <w:p w:rsidR="005B163D" w:rsidRDefault="005B163D" w:rsidP="005B163D">
      <w:pPr>
        <w:pStyle w:val="ae"/>
        <w:shd w:val="clear" w:color="auto" w:fill="FFFFFF"/>
        <w:spacing w:after="0" w:line="360" w:lineRule="atLeast"/>
        <w:ind w:left="84"/>
        <w:jc w:val="both"/>
        <w:rPr>
          <w:rFonts w:ascii="David" w:hAnsi="David" w:cs="David"/>
          <w:b/>
          <w:bCs/>
          <w:sz w:val="24"/>
          <w:szCs w:val="24"/>
          <w:u w:val="single"/>
          <w:rtl/>
        </w:rPr>
      </w:pPr>
      <w:r>
        <w:rPr>
          <w:rFonts w:ascii="David" w:hAnsi="David" w:cs="David"/>
          <w:b/>
          <w:bCs/>
          <w:sz w:val="24"/>
          <w:szCs w:val="24"/>
          <w:u w:val="single"/>
          <w:rtl/>
        </w:rPr>
        <w:t>סיכום – האישום הראשון</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על יסוד עדויות הקטינה לפני חוקרת הילדים וראיות הסיוע הרבות שנמצאו להן, אציע לחבריי להרשיע את הנאשם בביצוע המעשים המיניים המפורטים בסעיפים 6-4 ו- 11-9 לאישום הראשון. הנאשם יזוכה, מחמת הספק, מביצוע המיוחס לו בסעיפים 7, 8 ו-12 לאישום הראשון.</w:t>
      </w:r>
    </w:p>
    <w:p w:rsidR="005B163D" w:rsidRDefault="005B163D" w:rsidP="005B163D">
      <w:pPr>
        <w:pStyle w:val="ae"/>
        <w:shd w:val="clear" w:color="auto" w:fill="FFFFFF"/>
        <w:spacing w:after="0" w:line="360" w:lineRule="atLeast"/>
        <w:ind w:left="84"/>
        <w:jc w:val="both"/>
        <w:rPr>
          <w:rFonts w:ascii="David" w:hAnsi="David" w:cs="David"/>
          <w:b/>
          <w:bCs/>
          <w:sz w:val="26"/>
          <w:szCs w:val="26"/>
          <w:u w:val="single"/>
          <w:rtl/>
        </w:rPr>
      </w:pPr>
    </w:p>
    <w:p w:rsidR="005B163D" w:rsidRDefault="005B163D" w:rsidP="005B163D">
      <w:pPr>
        <w:pStyle w:val="ae"/>
        <w:shd w:val="clear" w:color="auto" w:fill="FFFFFF"/>
        <w:spacing w:after="0" w:line="360" w:lineRule="atLeast"/>
        <w:ind w:left="84"/>
        <w:jc w:val="both"/>
        <w:rPr>
          <w:rFonts w:ascii="David" w:hAnsi="David" w:cs="David"/>
          <w:b/>
          <w:bCs/>
          <w:sz w:val="26"/>
          <w:szCs w:val="26"/>
          <w:u w:val="single"/>
          <w:rtl/>
        </w:rPr>
      </w:pPr>
      <w:r>
        <w:rPr>
          <w:rFonts w:ascii="David" w:hAnsi="David" w:cs="David"/>
          <w:b/>
          <w:bCs/>
          <w:sz w:val="26"/>
          <w:szCs w:val="26"/>
          <w:u w:val="single"/>
          <w:rtl/>
        </w:rPr>
        <w:t>סוף דבר</w:t>
      </w: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לוּ תישמע דעתי הנאשם </w:t>
      </w:r>
      <w:r>
        <w:rPr>
          <w:rFonts w:ascii="David" w:hAnsi="David" w:cs="David"/>
          <w:b/>
          <w:bCs/>
          <w:sz w:val="24"/>
          <w:szCs w:val="24"/>
          <w:rtl/>
        </w:rPr>
        <w:t>יורשע</w:t>
      </w:r>
      <w:r>
        <w:rPr>
          <w:rFonts w:ascii="David" w:hAnsi="David" w:cs="David"/>
          <w:sz w:val="24"/>
          <w:szCs w:val="24"/>
          <w:rtl/>
        </w:rPr>
        <w:t xml:space="preserve"> בביצוע </w:t>
      </w:r>
      <w:r>
        <w:rPr>
          <w:rFonts w:ascii="David" w:hAnsi="David" w:cs="David"/>
          <w:sz w:val="24"/>
          <w:szCs w:val="24"/>
          <w:u w:val="single"/>
          <w:rtl/>
        </w:rPr>
        <w:t>שתי עבירות</w:t>
      </w:r>
      <w:r>
        <w:rPr>
          <w:rFonts w:ascii="David" w:hAnsi="David" w:cs="David"/>
          <w:sz w:val="24"/>
          <w:szCs w:val="24"/>
          <w:rtl/>
        </w:rPr>
        <w:t xml:space="preserve"> של מעשה מגונה בקטין, </w:t>
      </w:r>
      <w:r>
        <w:rPr>
          <w:rFonts w:ascii="David" w:eastAsia="Times New Roman" w:hAnsi="David" w:cs="David"/>
          <w:color w:val="000000"/>
          <w:sz w:val="24"/>
          <w:szCs w:val="24"/>
          <w:rtl/>
        </w:rPr>
        <w:t>לפי סעיף 348(ב) בנסיבות סעיף 345(ב)(1) ו-345(א)(1) לחוק</w:t>
      </w:r>
      <w:r>
        <w:rPr>
          <w:rFonts w:ascii="David" w:hAnsi="David" w:cs="David"/>
          <w:sz w:val="24"/>
          <w:szCs w:val="24"/>
          <w:rtl/>
        </w:rPr>
        <w:t xml:space="preserve">, כמפורט באישום הראשון </w:t>
      </w:r>
      <w:r>
        <w:rPr>
          <w:rFonts w:ascii="David" w:hAnsi="David" w:cs="David"/>
          <w:sz w:val="24"/>
          <w:szCs w:val="24"/>
          <w:u w:val="single"/>
          <w:rtl/>
        </w:rPr>
        <w:t>ובחמש עבירות</w:t>
      </w:r>
      <w:r>
        <w:rPr>
          <w:rFonts w:ascii="David" w:hAnsi="David" w:cs="David"/>
          <w:sz w:val="24"/>
          <w:szCs w:val="24"/>
          <w:rtl/>
        </w:rPr>
        <w:t xml:space="preserve"> של מעשה מגונה בקטין, </w:t>
      </w:r>
      <w:r>
        <w:rPr>
          <w:rFonts w:ascii="David" w:eastAsia="Times New Roman" w:hAnsi="David" w:cs="David"/>
          <w:color w:val="000000"/>
          <w:sz w:val="24"/>
          <w:szCs w:val="24"/>
          <w:rtl/>
        </w:rPr>
        <w:t>לפי סעיף 348(ב) בנסיבות סעיף 345(ב)(1) ו-345(א)(1) לחוק</w:t>
      </w:r>
      <w:r>
        <w:rPr>
          <w:rFonts w:ascii="David" w:hAnsi="David" w:cs="David"/>
          <w:sz w:val="24"/>
          <w:szCs w:val="24"/>
          <w:rtl/>
        </w:rPr>
        <w:t>, כמפורט באישום השני.</w:t>
      </w:r>
    </w:p>
    <w:p w:rsidR="005B163D" w:rsidRDefault="005B163D" w:rsidP="005B163D">
      <w:pPr>
        <w:shd w:val="clear" w:color="auto" w:fill="FFFFFF"/>
        <w:spacing w:line="360" w:lineRule="atLeast"/>
        <w:ind w:firstLine="720"/>
        <w:jc w:val="both"/>
        <w:rPr>
          <w:rFonts w:ascii="David" w:hAnsi="David"/>
          <w:rtl/>
        </w:rPr>
      </w:pPr>
    </w:p>
    <w:p w:rsidR="005B163D" w:rsidRDefault="005B163D" w:rsidP="005B163D">
      <w:pPr>
        <w:pStyle w:val="ae"/>
        <w:numPr>
          <w:ilvl w:val="0"/>
          <w:numId w:val="3"/>
        </w:numPr>
        <w:shd w:val="clear" w:color="auto" w:fill="FFFFFF"/>
        <w:spacing w:after="0" w:line="360" w:lineRule="atLeast"/>
        <w:ind w:left="84" w:firstLine="0"/>
        <w:jc w:val="both"/>
        <w:rPr>
          <w:rFonts w:ascii="David" w:hAnsi="David" w:cs="David"/>
          <w:sz w:val="24"/>
          <w:szCs w:val="24"/>
          <w:rtl/>
        </w:rPr>
      </w:pPr>
      <w:r>
        <w:rPr>
          <w:rFonts w:ascii="David" w:hAnsi="David" w:cs="David"/>
          <w:sz w:val="24"/>
          <w:szCs w:val="24"/>
          <w:rtl/>
        </w:rPr>
        <w:t xml:space="preserve">הנאשם </w:t>
      </w:r>
      <w:r>
        <w:rPr>
          <w:rFonts w:ascii="David" w:hAnsi="David" w:cs="David"/>
          <w:b/>
          <w:bCs/>
          <w:sz w:val="24"/>
          <w:szCs w:val="24"/>
          <w:rtl/>
        </w:rPr>
        <w:t>יזוכה</w:t>
      </w:r>
      <w:r>
        <w:rPr>
          <w:rFonts w:ascii="David" w:hAnsi="David" w:cs="David"/>
          <w:sz w:val="24"/>
          <w:szCs w:val="24"/>
          <w:rtl/>
        </w:rPr>
        <w:t>, מחמת הספק, מביצוע כל העבירות של מגונה בקטין שיוחסו לו בסעיפים 7, 8 -12 לאישום הראשון, וכאמור מן העבירה של מעשה מגונה בקטין בן משפחה.</w:t>
      </w:r>
    </w:p>
    <w:p w:rsidR="005B163D" w:rsidRDefault="005B163D" w:rsidP="005B163D">
      <w:pPr>
        <w:pStyle w:val="ae"/>
        <w:shd w:val="clear" w:color="auto" w:fill="FFFFFF"/>
        <w:spacing w:after="0" w:line="360" w:lineRule="atLeast"/>
        <w:ind w:left="84"/>
        <w:jc w:val="both"/>
        <w:rPr>
          <w:rFonts w:ascii="David" w:eastAsia="Times New Roman" w:hAnsi="David" w:cs="David"/>
          <w:b/>
          <w:bCs/>
          <w:color w:val="000000"/>
          <w:sz w:val="24"/>
          <w:szCs w:val="24"/>
          <w:u w:val="single"/>
          <w:rtl/>
        </w:rPr>
      </w:pPr>
    </w:p>
    <w:p w:rsidR="005B163D" w:rsidRDefault="005B163D" w:rsidP="005B163D">
      <w:pPr>
        <w:shd w:val="clear" w:color="auto" w:fill="FFFFFF"/>
        <w:spacing w:line="360" w:lineRule="atLeast"/>
        <w:ind w:firstLine="84"/>
        <w:jc w:val="both"/>
        <w:rPr>
          <w:rFonts w:ascii="Narkisim" w:hAnsi="Narkisim" w:cs="Narkisim"/>
          <w:b/>
          <w:bCs/>
          <w:color w:val="000000"/>
          <w:sz w:val="28"/>
          <w:szCs w:val="28"/>
          <w:u w:val="single"/>
          <w:rtl/>
        </w:rPr>
      </w:pPr>
      <w:r>
        <w:rPr>
          <w:rFonts w:ascii="Narkisim" w:hAnsi="Narkisim" w:cs="Narkisim"/>
          <w:b/>
          <w:bCs/>
          <w:color w:val="000000"/>
          <w:sz w:val="28"/>
          <w:szCs w:val="28"/>
          <w:u w:val="single"/>
          <w:rtl/>
        </w:rPr>
        <w:t>סגן הנשיאה עמי קובו, אב"ד</w:t>
      </w:r>
    </w:p>
    <w:p w:rsidR="005B163D" w:rsidRDefault="005B163D" w:rsidP="005B163D">
      <w:pPr>
        <w:pStyle w:val="ae"/>
        <w:shd w:val="clear" w:color="auto" w:fill="FFFFFF"/>
        <w:spacing w:after="0" w:line="360" w:lineRule="atLeast"/>
        <w:ind w:left="84"/>
        <w:jc w:val="both"/>
        <w:rPr>
          <w:rFonts w:ascii="David" w:hAnsi="David" w:cs="David"/>
          <w:sz w:val="24"/>
          <w:szCs w:val="24"/>
          <w:rtl/>
        </w:rPr>
      </w:pPr>
      <w:r>
        <w:rPr>
          <w:rFonts w:ascii="David" w:hAnsi="David" w:cs="David"/>
          <w:sz w:val="24"/>
          <w:szCs w:val="24"/>
          <w:rtl/>
        </w:rPr>
        <w:t xml:space="preserve">אני מסכים. </w:t>
      </w:r>
    </w:p>
    <w:p w:rsidR="005B163D" w:rsidRDefault="005B163D" w:rsidP="005B163D">
      <w:pPr>
        <w:shd w:val="clear" w:color="auto" w:fill="FFFFFF"/>
        <w:spacing w:line="360" w:lineRule="atLeast"/>
        <w:ind w:firstLine="84"/>
        <w:jc w:val="both"/>
        <w:rPr>
          <w:rFonts w:ascii="David" w:hAnsi="David"/>
          <w:b/>
          <w:bCs/>
          <w:color w:val="000000"/>
          <w:sz w:val="28"/>
          <w:szCs w:val="28"/>
          <w:u w:val="single"/>
          <w:rtl/>
        </w:rPr>
      </w:pPr>
    </w:p>
    <w:p w:rsidR="005B163D" w:rsidRDefault="005B163D" w:rsidP="005B163D">
      <w:pPr>
        <w:shd w:val="clear" w:color="auto" w:fill="FFFFFF"/>
        <w:spacing w:line="360" w:lineRule="atLeast"/>
        <w:ind w:firstLine="84"/>
        <w:jc w:val="both"/>
        <w:rPr>
          <w:rFonts w:ascii="David" w:hAnsi="David"/>
          <w:b/>
          <w:bCs/>
          <w:color w:val="000000"/>
          <w:sz w:val="28"/>
          <w:szCs w:val="28"/>
          <w:u w:val="single"/>
          <w:rtl/>
        </w:rPr>
      </w:pPr>
      <w:r>
        <w:rPr>
          <w:rFonts w:ascii="David" w:hAnsi="David"/>
          <w:b/>
          <w:bCs/>
          <w:color w:val="000000"/>
          <w:sz w:val="28"/>
          <w:szCs w:val="28"/>
          <w:u w:val="single"/>
          <w:rtl/>
        </w:rPr>
        <w:t>השופטת מרב גרינברג</w:t>
      </w:r>
    </w:p>
    <w:p w:rsidR="005B163D" w:rsidRDefault="005B163D" w:rsidP="005B163D">
      <w:pPr>
        <w:pStyle w:val="ae"/>
        <w:shd w:val="clear" w:color="auto" w:fill="FFFFFF"/>
        <w:spacing w:after="0" w:line="360" w:lineRule="atLeast"/>
        <w:ind w:left="84"/>
        <w:jc w:val="both"/>
        <w:rPr>
          <w:rFonts w:ascii="David" w:eastAsia="Times New Roman" w:hAnsi="David" w:cs="David"/>
          <w:sz w:val="24"/>
          <w:szCs w:val="24"/>
          <w:rtl/>
        </w:rPr>
      </w:pPr>
      <w:r>
        <w:rPr>
          <w:rFonts w:ascii="David" w:eastAsia="Times New Roman" w:hAnsi="David" w:cs="David"/>
          <w:sz w:val="24"/>
          <w:szCs w:val="24"/>
          <w:rtl/>
        </w:rPr>
        <w:t>אני מסכימה</w:t>
      </w:r>
    </w:p>
    <w:p w:rsidR="005B163D" w:rsidRDefault="005B163D" w:rsidP="005B163D">
      <w:pPr>
        <w:pStyle w:val="ae"/>
        <w:shd w:val="clear" w:color="auto" w:fill="FFFFFF"/>
        <w:spacing w:after="0" w:line="360" w:lineRule="atLeast"/>
        <w:ind w:left="84"/>
        <w:jc w:val="both"/>
        <w:rPr>
          <w:rFonts w:ascii="Narkisim" w:eastAsia="Times New Roman" w:hAnsi="Narkisim" w:cs="Narkisim"/>
          <w:b/>
          <w:bCs/>
          <w:color w:val="000000"/>
          <w:sz w:val="28"/>
          <w:szCs w:val="28"/>
          <w:u w:val="single"/>
          <w:rtl/>
        </w:rPr>
      </w:pPr>
    </w:p>
    <w:p w:rsidR="005B163D" w:rsidRDefault="005B163D" w:rsidP="005B163D">
      <w:pPr>
        <w:shd w:val="clear" w:color="auto" w:fill="FFFFFF"/>
        <w:spacing w:line="360" w:lineRule="atLeast"/>
        <w:jc w:val="both"/>
        <w:rPr>
          <w:rFonts w:ascii="David" w:hAnsi="David"/>
          <w:b/>
          <w:bCs/>
          <w:color w:val="000000"/>
          <w:rtl/>
        </w:rPr>
      </w:pPr>
      <w:r>
        <w:rPr>
          <w:rFonts w:ascii="David" w:hAnsi="David"/>
          <w:b/>
          <w:bCs/>
          <w:color w:val="000000"/>
          <w:rtl/>
        </w:rPr>
        <w:t>הוחלט כאמור בפסק דינו של השופט קרשן.</w:t>
      </w:r>
    </w:p>
    <w:p w:rsidR="005B163D" w:rsidRDefault="005B163D" w:rsidP="005B163D">
      <w:pPr>
        <w:rPr>
          <w:rFonts w:ascii="Arial" w:hAnsi="Arial"/>
          <w:rtl/>
        </w:rPr>
      </w:pPr>
    </w:p>
    <w:p w:rsidR="005B163D" w:rsidRDefault="005B163D" w:rsidP="005B163D">
      <w:pPr>
        <w:rPr>
          <w:rFonts w:ascii="Arial" w:hAnsi="Arial"/>
          <w:rtl/>
        </w:rPr>
      </w:pPr>
      <w:r>
        <w:rPr>
          <w:rFonts w:ascii="Arial" w:hAnsi="Arial"/>
          <w:rtl/>
        </w:rPr>
        <w:t xml:space="preserve">ניתנה היום, </w:t>
      </w:r>
      <w:sdt>
        <w:sdtPr>
          <w:rPr>
            <w:rtl/>
          </w:rPr>
          <w:alias w:val="1455"/>
          <w:tag w:val="1455"/>
          <w:id w:val="-1984149291"/>
          <w:text w:multiLine="1"/>
        </w:sdtPr>
        <w:sdtEndPr/>
        <w:sdtContent>
          <w:r>
            <w:rPr>
              <w:rFonts w:ascii="Arial" w:hAnsi="Arial"/>
              <w:rtl/>
            </w:rPr>
            <w:t>י"ג תשרי תשפ"ה</w:t>
          </w:r>
        </w:sdtContent>
      </w:sdt>
      <w:r>
        <w:rPr>
          <w:rFonts w:ascii="Arial" w:hAnsi="Arial"/>
          <w:rtl/>
        </w:rPr>
        <w:t xml:space="preserve">, </w:t>
      </w:r>
      <w:sdt>
        <w:sdtPr>
          <w:rPr>
            <w:rtl/>
          </w:rPr>
          <w:alias w:val="1456"/>
          <w:tag w:val="1456"/>
          <w:id w:val="1681311558"/>
          <w:text w:multiLine="1"/>
        </w:sdtPr>
        <w:sdtEndPr/>
        <w:sdtContent>
          <w:r>
            <w:rPr>
              <w:rFonts w:ascii="Arial" w:hAnsi="Arial"/>
              <w:rtl/>
            </w:rPr>
            <w:t>15 אוקטובר 2024</w:t>
          </w:r>
        </w:sdtContent>
      </w:sdt>
      <w:r>
        <w:rPr>
          <w:rFonts w:ascii="Arial" w:hAnsi="Arial"/>
          <w:rtl/>
        </w:rPr>
        <w:t>, במעמד הצדדים</w:t>
      </w:r>
    </w:p>
    <w:p w:rsidR="005B163D" w:rsidRDefault="005B163D" w:rsidP="005B163D">
      <w:pPr>
        <w:tabs>
          <w:tab w:val="left" w:pos="1625"/>
        </w:tabs>
        <w:jc w:val="center"/>
        <w:rPr>
          <w:rFonts w:ascii="Arial (W1)" w:hAnsi="Arial (W1)"/>
          <w:rtl/>
        </w:rPr>
      </w:pPr>
      <w:r>
        <w:rPr>
          <w:rtl/>
        </w:rPr>
        <w:t xml:space="preserve">                                </w:t>
      </w:r>
    </w:p>
    <w:sdt>
      <w:sdtPr>
        <w:rPr>
          <w:rtl/>
        </w:rPr>
        <w:alias w:val="2045"/>
        <w:tag w:val="2045"/>
        <w:id w:val="-1890333271"/>
        <w:placeholder>
          <w:docPart w:val="67612C4E92874A6992F5E5ABD8E78262"/>
        </w:placeholder>
        <w:showingPlcHdr/>
        <w:text w:multiLine="1"/>
      </w:sdtPr>
      <w:sdtEndPr/>
      <w:sdtContent>
        <w:p w:rsidR="005B163D" w:rsidRDefault="005B163D" w:rsidP="005B163D">
          <w:pPr>
            <w:tabs>
              <w:tab w:val="left" w:pos="1625"/>
            </w:tabs>
            <w:jc w:val="center"/>
            <w:rPr>
              <w:rtl/>
            </w:rPr>
          </w:pPr>
          <w:r>
            <w:rPr>
              <w:rtl/>
            </w:rPr>
            <w:t xml:space="preserve">    </w:t>
          </w:r>
        </w:p>
      </w:sdtContent>
    </w:sdt>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5B163D" w:rsidTr="005B163D">
        <w:tc>
          <w:tcPr>
            <w:tcW w:w="3383" w:type="dxa"/>
            <w:hideMark/>
          </w:tcPr>
          <w:sdt>
            <w:sdtPr>
              <w:rPr>
                <w:rFonts w:cs="Times New Roman"/>
                <w:sz w:val="20"/>
                <w:szCs w:val="20"/>
                <w:rtl/>
              </w:rPr>
              <w:alias w:val="MergeField"/>
              <w:tag w:val="2250"/>
              <w:id w:val="-130406988"/>
            </w:sdtPr>
            <w:sdtEndPr/>
            <w:sdtContent>
              <w:p w:rsidR="005B163D" w:rsidRDefault="005B163D">
                <w:pPr>
                  <w:jc w:val="center"/>
                  <w:rPr>
                    <w:rFonts w:cs="Times New Roman"/>
                    <w:sz w:val="20"/>
                    <w:szCs w:val="20"/>
                    <w:rtl/>
                  </w:rPr>
                </w:pPr>
                <w:r>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5B163D" w:rsidRDefault="005B163D">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5B163D" w:rsidRDefault="005B163D">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5B163D" w:rsidRDefault="005B163D">
                <w:pPr>
                  <w:jc w:val="center"/>
                  <w:rPr>
                    <w:rFonts w:ascii="Arial (W1)" w:hAnsi="Arial (W1)"/>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5B163D" w:rsidTr="005B163D">
        <w:tc>
          <w:tcPr>
            <w:tcW w:w="3383" w:type="dxa"/>
            <w:hideMark/>
          </w:tcPr>
          <w:p w:rsidR="005B163D" w:rsidRDefault="00D24D55">
            <w:pPr>
              <w:spacing w:line="360" w:lineRule="auto"/>
              <w:jc w:val="center"/>
              <w:rPr>
                <w:rFonts w:ascii="David" w:hAnsi="David"/>
              </w:rPr>
            </w:pPr>
            <w:sdt>
              <w:sdtPr>
                <w:rPr>
                  <w:rtl/>
                </w:rPr>
                <w:alias w:val="2235"/>
                <w:tag w:val="2235"/>
                <w:id w:val="1100069598"/>
              </w:sdtPr>
              <w:sdtEndPr/>
              <w:sdtContent>
                <w:r w:rsidR="005B163D">
                  <w:rPr>
                    <w:rFonts w:ascii="David" w:hAnsi="David"/>
                    <w:rtl/>
                  </w:rPr>
                  <w:t>עמי</w:t>
                </w:r>
              </w:sdtContent>
            </w:sdt>
            <w:r w:rsidR="005B163D">
              <w:rPr>
                <w:rFonts w:ascii="David" w:hAnsi="David"/>
                <w:rtl/>
              </w:rPr>
              <w:t xml:space="preserve">  </w:t>
            </w:r>
            <w:sdt>
              <w:sdtPr>
                <w:rPr>
                  <w:rFonts w:cs="Times New Roman"/>
                  <w:rtl/>
                </w:rPr>
                <w:alias w:val="2240"/>
                <w:tag w:val="2240"/>
                <w:id w:val="825638415"/>
              </w:sdtPr>
              <w:sdtEndPr/>
              <w:sdtContent>
                <w:r w:rsidR="005B163D">
                  <w:rPr>
                    <w:rFonts w:ascii="David" w:hAnsi="David"/>
                    <w:rtl/>
                  </w:rPr>
                  <w:t>קובו</w:t>
                </w:r>
              </w:sdtContent>
            </w:sdt>
            <w:r w:rsidR="005B163D">
              <w:rPr>
                <w:rFonts w:ascii="David" w:hAnsi="David"/>
                <w:rtl/>
              </w:rPr>
              <w:t xml:space="preserve">, </w:t>
            </w:r>
            <w:sdt>
              <w:sdtPr>
                <w:rPr>
                  <w:rFonts w:cs="Times New Roman"/>
                  <w:rtl/>
                </w:rPr>
                <w:alias w:val="2245"/>
                <w:tag w:val="2245"/>
                <w:id w:val="533847746"/>
              </w:sdtPr>
              <w:sdtEndPr/>
              <w:sdtContent>
                <w:r w:rsidR="005B163D">
                  <w:rPr>
                    <w:rFonts w:ascii="David" w:hAnsi="David"/>
                    <w:rtl/>
                  </w:rPr>
                  <w:t xml:space="preserve">שופט,                             סגן הנשיאה, </w:t>
                </w:r>
              </w:sdtContent>
            </w:sdt>
          </w:p>
        </w:tc>
        <w:tc>
          <w:tcPr>
            <w:tcW w:w="3536" w:type="dxa"/>
            <w:hideMark/>
          </w:tcPr>
          <w:p w:rsidR="005B163D" w:rsidRDefault="00D24D55">
            <w:pPr>
              <w:spacing w:line="360" w:lineRule="auto"/>
              <w:jc w:val="center"/>
              <w:rPr>
                <w:rFonts w:ascii="David" w:hAnsi="David"/>
              </w:rPr>
            </w:pPr>
            <w:sdt>
              <w:sdtPr>
                <w:rPr>
                  <w:rtl/>
                </w:rPr>
                <w:alias w:val="2236"/>
                <w:tag w:val="2236"/>
                <w:id w:val="639300144"/>
              </w:sdtPr>
              <w:sdtEndPr/>
              <w:sdtContent>
                <w:r w:rsidR="005B163D">
                  <w:rPr>
                    <w:rFonts w:ascii="David" w:hAnsi="David"/>
                    <w:rtl/>
                  </w:rPr>
                  <w:t>מיכאל</w:t>
                </w:r>
              </w:sdtContent>
            </w:sdt>
            <w:r w:rsidR="005B163D">
              <w:rPr>
                <w:rFonts w:ascii="David" w:hAnsi="David"/>
                <w:rtl/>
              </w:rPr>
              <w:t xml:space="preserve"> </w:t>
            </w:r>
            <w:sdt>
              <w:sdtPr>
                <w:rPr>
                  <w:rFonts w:cs="Times New Roman"/>
                  <w:rtl/>
                </w:rPr>
                <w:alias w:val="2241"/>
                <w:tag w:val="2241"/>
                <w:id w:val="-2097088705"/>
              </w:sdtPr>
              <w:sdtEndPr/>
              <w:sdtContent>
                <w:r w:rsidR="005B163D">
                  <w:rPr>
                    <w:rFonts w:ascii="David" w:hAnsi="David"/>
                    <w:rtl/>
                  </w:rPr>
                  <w:t>קרשן</w:t>
                </w:r>
              </w:sdtContent>
            </w:sdt>
            <w:r w:rsidR="005B163D">
              <w:rPr>
                <w:rFonts w:ascii="David" w:hAnsi="David"/>
                <w:rtl/>
              </w:rPr>
              <w:t xml:space="preserve">, </w:t>
            </w:r>
            <w:sdt>
              <w:sdtPr>
                <w:rPr>
                  <w:rFonts w:cs="Times New Roman"/>
                  <w:rtl/>
                </w:rPr>
                <w:alias w:val="2246"/>
                <w:tag w:val="2246"/>
                <w:id w:val="-1989393221"/>
              </w:sdtPr>
              <w:sdtEndPr/>
              <w:sdtContent>
                <w:r w:rsidR="005B163D">
                  <w:rPr>
                    <w:rFonts w:ascii="David" w:hAnsi="David"/>
                    <w:rtl/>
                  </w:rPr>
                  <w:t>שופט</w:t>
                </w:r>
              </w:sdtContent>
            </w:sdt>
          </w:p>
        </w:tc>
        <w:tc>
          <w:tcPr>
            <w:tcW w:w="3341" w:type="dxa"/>
            <w:hideMark/>
          </w:tcPr>
          <w:p w:rsidR="005B163D" w:rsidRDefault="00D24D55">
            <w:pPr>
              <w:spacing w:line="360" w:lineRule="auto"/>
              <w:jc w:val="center"/>
              <w:rPr>
                <w:rFonts w:ascii="David" w:hAnsi="David"/>
                <w:rtl/>
              </w:rPr>
            </w:pPr>
            <w:sdt>
              <w:sdtPr>
                <w:rPr>
                  <w:rtl/>
                </w:rPr>
                <w:alias w:val="2237"/>
                <w:tag w:val="2237"/>
                <w:id w:val="-31890643"/>
              </w:sdtPr>
              <w:sdtEndPr/>
              <w:sdtContent>
                <w:r w:rsidR="005B163D">
                  <w:rPr>
                    <w:rFonts w:ascii="David" w:hAnsi="David"/>
                    <w:rtl/>
                  </w:rPr>
                  <w:t>מרב</w:t>
                </w:r>
              </w:sdtContent>
            </w:sdt>
            <w:r w:rsidR="005B163D">
              <w:rPr>
                <w:rFonts w:ascii="David" w:hAnsi="David"/>
                <w:rtl/>
              </w:rPr>
              <w:t xml:space="preserve"> </w:t>
            </w:r>
            <w:sdt>
              <w:sdtPr>
                <w:rPr>
                  <w:rFonts w:cs="Times New Roman"/>
                  <w:rtl/>
                </w:rPr>
                <w:alias w:val="2242"/>
                <w:tag w:val="2242"/>
                <w:id w:val="358854881"/>
              </w:sdtPr>
              <w:sdtEndPr/>
              <w:sdtContent>
                <w:r w:rsidR="005B163D">
                  <w:rPr>
                    <w:rFonts w:ascii="David" w:hAnsi="David"/>
                    <w:rtl/>
                  </w:rPr>
                  <w:t>גרינברג</w:t>
                </w:r>
              </w:sdtContent>
            </w:sdt>
            <w:r w:rsidR="005B163D">
              <w:rPr>
                <w:rFonts w:ascii="David" w:hAnsi="David"/>
                <w:rtl/>
              </w:rPr>
              <w:t xml:space="preserve">, </w:t>
            </w:r>
            <w:sdt>
              <w:sdtPr>
                <w:rPr>
                  <w:rFonts w:cs="Times New Roman"/>
                  <w:rtl/>
                </w:rPr>
                <w:alias w:val="2247"/>
                <w:tag w:val="2247"/>
                <w:id w:val="243227774"/>
              </w:sdtPr>
              <w:sdtEndPr/>
              <w:sdtContent>
                <w:r w:rsidR="005B163D">
                  <w:rPr>
                    <w:rFonts w:ascii="David" w:hAnsi="David"/>
                    <w:rtl/>
                  </w:rPr>
                  <w:t>שופטת</w:t>
                </w:r>
              </w:sdtContent>
            </w:sdt>
          </w:p>
        </w:tc>
      </w:tr>
    </w:tbl>
    <w:p w:rsidR="005B163D" w:rsidRDefault="005B163D" w:rsidP="005B163D">
      <w:pPr>
        <w:tabs>
          <w:tab w:val="left" w:pos="1625"/>
        </w:tabs>
        <w:rPr>
          <w:rFonts w:ascii="Arial (W1)" w:hAnsi="Arial (W1)"/>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D55" w:rsidRDefault="00D24D55">
      <w:r>
        <w:separator/>
      </w:r>
    </w:p>
  </w:endnote>
  <w:endnote w:type="continuationSeparator" w:id="0">
    <w:p w:rsidR="00D24D55" w:rsidRDefault="00D2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9E8" w:rsidRDefault="00FC49E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FC49E8">
      <w:rPr>
        <w:rStyle w:val="ac"/>
        <w:rFonts w:ascii="David" w:hAnsi="David"/>
        <w:rtl/>
      </w:rPr>
      <w:t>1</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FC49E8">
      <w:rPr>
        <w:rStyle w:val="ac"/>
        <w:rFonts w:ascii="David" w:hAnsi="David"/>
        <w:rtl/>
      </w:rPr>
      <w:t>29</w:t>
    </w:r>
    <w:r w:rsidRPr="00E765F7">
      <w:rPr>
        <w:rStyle w:val="ac"/>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9E8" w:rsidRDefault="00FC49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D55" w:rsidRDefault="00D24D55">
      <w:r>
        <w:separator/>
      </w:r>
    </w:p>
  </w:footnote>
  <w:footnote w:type="continuationSeparator" w:id="0">
    <w:p w:rsidR="00D24D55" w:rsidRDefault="00D2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9E8" w:rsidRDefault="00FC49E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D24D55" w:rsidP="005B163D">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65218-10-21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5B163D">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9E8" w:rsidRDefault="00FC49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44E8E6FA"/>
    <w:lvl w:ilvl="0" w:tplc="AE06985A">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effect w:val="none"/>
        <w:vertAlign w:val="baseline"/>
        <w:specVanish w:val="0"/>
      </w:rPr>
    </w:lvl>
    <w:lvl w:ilvl="1" w:tplc="88D83E68">
      <w:start w:val="1"/>
      <w:numFmt w:val="lowerLetter"/>
      <w:lvlText w:val="%2."/>
      <w:lvlJc w:val="left"/>
      <w:pPr>
        <w:tabs>
          <w:tab w:val="num" w:pos="1440"/>
        </w:tabs>
        <w:ind w:left="1440" w:hanging="360"/>
      </w:pPr>
    </w:lvl>
    <w:lvl w:ilvl="2" w:tplc="8E747DDA">
      <w:start w:val="1"/>
      <w:numFmt w:val="lowerRoman"/>
      <w:lvlText w:val="%3."/>
      <w:lvlJc w:val="right"/>
      <w:pPr>
        <w:tabs>
          <w:tab w:val="num" w:pos="2160"/>
        </w:tabs>
        <w:ind w:left="2160" w:hanging="180"/>
      </w:pPr>
    </w:lvl>
    <w:lvl w:ilvl="3" w:tplc="74E4E5C4">
      <w:start w:val="1"/>
      <w:numFmt w:val="decimal"/>
      <w:lvlText w:val="%4."/>
      <w:lvlJc w:val="left"/>
      <w:pPr>
        <w:tabs>
          <w:tab w:val="num" w:pos="2880"/>
        </w:tabs>
        <w:ind w:left="2880" w:hanging="360"/>
      </w:pPr>
    </w:lvl>
    <w:lvl w:ilvl="4" w:tplc="343C4BE8">
      <w:start w:val="1"/>
      <w:numFmt w:val="lowerLetter"/>
      <w:lvlText w:val="%5."/>
      <w:lvlJc w:val="left"/>
      <w:pPr>
        <w:tabs>
          <w:tab w:val="num" w:pos="3600"/>
        </w:tabs>
        <w:ind w:left="3600" w:hanging="360"/>
      </w:pPr>
    </w:lvl>
    <w:lvl w:ilvl="5" w:tplc="79A668B6">
      <w:start w:val="1"/>
      <w:numFmt w:val="lowerRoman"/>
      <w:lvlText w:val="%6."/>
      <w:lvlJc w:val="right"/>
      <w:pPr>
        <w:tabs>
          <w:tab w:val="num" w:pos="4320"/>
        </w:tabs>
        <w:ind w:left="4320" w:hanging="180"/>
      </w:pPr>
    </w:lvl>
    <w:lvl w:ilvl="6" w:tplc="98B6F942">
      <w:start w:val="1"/>
      <w:numFmt w:val="decimal"/>
      <w:lvlText w:val="%7."/>
      <w:lvlJc w:val="left"/>
      <w:pPr>
        <w:tabs>
          <w:tab w:val="num" w:pos="5040"/>
        </w:tabs>
        <w:ind w:left="5040" w:hanging="360"/>
      </w:pPr>
    </w:lvl>
    <w:lvl w:ilvl="7" w:tplc="18D037E0">
      <w:start w:val="1"/>
      <w:numFmt w:val="lowerLetter"/>
      <w:lvlText w:val="%8."/>
      <w:lvlJc w:val="left"/>
      <w:pPr>
        <w:tabs>
          <w:tab w:val="num" w:pos="5760"/>
        </w:tabs>
        <w:ind w:left="5760" w:hanging="360"/>
      </w:pPr>
    </w:lvl>
    <w:lvl w:ilvl="8" w:tplc="FCE0E354">
      <w:start w:val="1"/>
      <w:numFmt w:val="lowerRoman"/>
      <w:lvlText w:val="%9."/>
      <w:lvlJc w:val="right"/>
      <w:pPr>
        <w:tabs>
          <w:tab w:val="num" w:pos="6480"/>
        </w:tabs>
        <w:ind w:left="6480" w:hanging="180"/>
      </w:pPr>
    </w:lvl>
  </w:abstractNum>
  <w:abstractNum w:abstractNumId="1" w15:restartNumberingAfterBreak="0">
    <w:nsid w:val="166E3263"/>
    <w:multiLevelType w:val="hybridMultilevel"/>
    <w:tmpl w:val="ECC6301A"/>
    <w:lvl w:ilvl="0" w:tplc="D9B6A16E">
      <w:start w:val="1"/>
      <w:numFmt w:val="decimal"/>
      <w:lvlText w:val="%1."/>
      <w:lvlJc w:val="left"/>
      <w:pPr>
        <w:ind w:left="2610" w:hanging="360"/>
      </w:pPr>
      <w:rPr>
        <w:rFonts w:ascii="David" w:hAnsi="David" w:cs="David" w:hint="default"/>
        <w:b w:val="0"/>
        <w:bCs w:val="0"/>
      </w:rPr>
    </w:lvl>
    <w:lvl w:ilvl="1" w:tplc="04090013">
      <w:start w:val="1"/>
      <w:numFmt w:val="hebrew1"/>
      <w:lvlText w:val="%2."/>
      <w:lvlJc w:val="center"/>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C5E6DF5"/>
    <w:multiLevelType w:val="hybridMultilevel"/>
    <w:tmpl w:val="20A47A74"/>
    <w:lvl w:ilvl="0" w:tplc="1E1683AE">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442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44294&amp;lt;/CaseID&amp;gt;_x000d__x000a_        &amp;lt;CaseMonth&amp;gt;10&amp;lt;/CaseMonth&amp;gt;_x000d__x000a_        &amp;lt;CaseYear&amp;gt;2021&amp;lt;/CaseYear&amp;gt;_x000d__x000a_        &amp;lt;CaseNumber&amp;gt;65218&amp;lt;/CaseNumber&amp;gt;_x000d__x000a_        &amp;lt;NumeratorGroupID&amp;gt;1&amp;lt;/NumeratorGroupID&amp;gt;_x000d__x000a_        &amp;lt;CaseName&amp;gt;מדינת ישראל נ&amp;#39; נסים&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521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1-10-27T10:31: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רוז תמלול מיום 1.5.24מלי.ג.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44294&amp;lt;/CaseID&amp;gt;_x000d__x000a_        &amp;lt;CaseMonth&amp;gt;10&amp;lt;/CaseMonth&amp;gt;_x000d__x000a_        &amp;lt;CaseYear&amp;gt;2021&amp;lt;/CaseYear&amp;gt;_x000d__x000a_        &amp;lt;CaseNumber&amp;gt;65218&amp;lt;/CaseNumber&amp;gt;_x000d__x000a_        &amp;lt;NumeratorGroupID&amp;gt;1&amp;lt;/NumeratorGroupID&amp;gt;_x000d__x000a_        &amp;lt;CaseName&amp;gt;מדינת ישראל נ&amp;#39; נסים&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521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1-10-27T10:31: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רוז תמלול מיום 1.5.24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05035&amp;lt;/DecisionID&amp;gt;_x000d__x000a_        &amp;lt;DecisionName&amp;gt;החלטה  שניתנה ע&amp;quot;י  עמי קובו&amp;lt;/DecisionName&amp;gt;_x000d__x000a_        &amp;lt;DecisionStatusID&amp;gt;1&amp;lt;/DecisionStatusID&amp;gt;_x000d__x000a_        &amp;lt;DecisionStatusChangeDate&amp;gt;2024-10-14T14:56:41.53+03:00&amp;lt;/DecisionStatusChangeDate&amp;gt;_x000d__x000a_        &amp;lt;DecisionSignatureDate&amp;gt;2024-10-14T14:56:38.81+03:00&amp;lt;/DecisionSignatureDate&amp;gt;_x000d__x000a_        &amp;lt;DecisionSignatureUserID&amp;gt;029737269@GOV.IL&amp;lt;/DecisionSignatureUserID&amp;gt;_x000d__x000a_        &amp;lt;DecisionCreateDate&amp;gt;2024-10-14T14:48:45.65+03:00&amp;lt;/DecisionCreateDate&amp;gt;_x000d__x000a_        &amp;lt;DecisionChangeDate&amp;gt;2024-10-14T14:56:41.59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9653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5505035&amp;lt;/DecisionID&amp;gt;_x000d__x000a_        &amp;lt;CaseID&amp;gt;78744294&amp;lt;/CaseID&amp;gt;_x000d__x000a_        &amp;lt;IsOriginal&amp;gt;true&amp;lt;/IsOriginal&amp;gt;_x000d__x000a_        &amp;lt;IsDeleted&amp;gt;false&amp;lt;/IsDeleted&amp;gt;_x000d__x000a_        &amp;lt;CaseName&amp;gt;מדינת ישראל נ&amp;#39; נסים&amp;lt;/CaseName&amp;gt;_x000d__x000a_        &amp;lt;CaseDisplayIdentifier&amp;gt;65218-10-21 תפח&amp;quot;ע&amp;lt;/CaseDisplayIdentifier&amp;gt;_x000d__x000a_      &amp;lt;/dt_DecisionCase&amp;gt;_x000d__x000a_      &amp;lt;dt_DecisionJudgePanel diffgr:id=&amp;quot;dt_DecisionJudgePanel1&amp;quot; msdata:rowOrder=&amp;quot;0&amp;quot;&amp;gt;_x000d__x000a_        &amp;lt;DecisionID&amp;gt;155505035&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505035&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505035&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5505035"/>
    <w:docVar w:name="docID" w:val="457965393"/>
    <w:docVar w:name="judgeUPN" w:val="029737269@GOV.IL"/>
    <w:docVar w:name="NGCS.TemplateCaseInterestID" w:val="-1"/>
    <w:docVar w:name="NGCS.TemplateCaseTypeID" w:val="10284"/>
    <w:docVar w:name="NGCS.TemplateCourtID" w:val="896"/>
    <w:docVar w:name="NGCS.TemplateProceedingID" w:val="2"/>
    <w:docVar w:name="noteDocID" w:val="457965393"/>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A00AB"/>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15F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163D"/>
    <w:rsid w:val="005C0627"/>
    <w:rsid w:val="005F4F09"/>
    <w:rsid w:val="0061431B"/>
    <w:rsid w:val="00622BAA"/>
    <w:rsid w:val="006306CF"/>
    <w:rsid w:val="006318D8"/>
    <w:rsid w:val="00644E9A"/>
    <w:rsid w:val="006626F7"/>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C586A"/>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31EC"/>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4D55"/>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C49E8"/>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Paragraph"/>
    <w:basedOn w:val="a0"/>
    <w:uiPriority w:val="34"/>
    <w:qFormat/>
    <w:rsid w:val="005B163D"/>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a">
    <w:name w:val="ממוספר"/>
    <w:basedOn w:val="a0"/>
    <w:uiPriority w:val="99"/>
    <w:semiHidden/>
    <w:rsid w:val="005B163D"/>
    <w:pPr>
      <w:numPr>
        <w:numId w:val="1"/>
      </w:numPr>
      <w:spacing w:after="120" w:line="360" w:lineRule="auto"/>
    </w:pPr>
    <w:rPr>
      <w:rFonts w:ascii="David" w:hAnsi="David"/>
      <w:noProof w:val="0"/>
      <w:color w:val="000000"/>
    </w:rPr>
  </w:style>
  <w:style w:type="paragraph" w:customStyle="1" w:styleId="Ruller4">
    <w:name w:val="Ruller 4 ממוספר"/>
    <w:basedOn w:val="a0"/>
    <w:next w:val="a0"/>
    <w:uiPriority w:val="99"/>
    <w:semiHidden/>
    <w:rsid w:val="005B163D"/>
    <w:pPr>
      <w:numPr>
        <w:numId w:val="2"/>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4848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7612C4E92874A6992F5E5ABD8E78262"/>
        <w:category>
          <w:name w:val="כללי"/>
          <w:gallery w:val="placeholder"/>
        </w:category>
        <w:types>
          <w:type w:val="bbPlcHdr"/>
        </w:types>
        <w:behaviors>
          <w:behavior w:val="content"/>
        </w:behaviors>
        <w:guid w:val="{183EBCCC-BDCC-4F8D-AB1C-64538D530A30}"/>
      </w:docPartPr>
      <w:docPartBody>
        <w:p w:rsidR="001F285E" w:rsidRDefault="00F90044" w:rsidP="00F90044">
          <w:pPr>
            <w:pStyle w:val="67612C4E92874A6992F5E5ABD8E7826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F285E"/>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04C30"/>
    <w:rsid w:val="00E31BF6"/>
    <w:rsid w:val="00E81DB1"/>
    <w:rsid w:val="00F04DC1"/>
    <w:rsid w:val="00F678CA"/>
    <w:rsid w:val="00F90044"/>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67612C4E92874A6992F5E5ABD8E78262">
    <w:name w:val="67612C4E92874A6992F5E5ABD8E78262"/>
    <w:rsid w:val="00F9004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תמר נותב פייל</FullName>
        <FirstName>תמר</FirstName>
        <LastName>נותב פייל</LastName>
        <PartyPropertyName/>
        <AuthenticationTypeAndNumber>מ.ר. 88277</AuthenticationTypeAndNumber>
        <RepresentatedOrRepresentativesNames>תמי נותב פייל</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268690591</CasePartyID>
        <PartyTypeID>2</PartyTypeID>
        <ActivityStatusID>1</ActivityStatusID>
        <PartyAliasID>22</PartyAliasID>
        <PartyAliasName>בא כוח מבקשים</PartyAliasName>
        <LegalEntityID>80190275</LegalEntityID>
        <CaseLegalEntityID>128442838</CaseLegalEntityID>
        <AuthenticationTypeID>4</AuthenticationTypeID>
        <AuthenticationTypeName>מ.ר.</AuthenticationTypeName>
        <LegalEntityNumber>88277</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משה לוי 39ב נס ציונה </FullAddress>
        <EmailAddress>tammynf@kalevilaw.com</EmailAddress>
        <MotionID>0</MotionID>
        <CasePleaID>0</CasePleaID>
        <LinkedCaseID>0</LinkedCaseID>
        <CasePartyCategoryID>2</CasePartyCategoryID>
        <LegalEntityAddressID>85944041</LegalEntityAddressID>
        <LegalEntityEmailAddressID>68155045</LegalEntityEmailAddressID>
        <PleaTypeID>8</PleaTypeID>
        <LawyerOfficeName>משרד עו"ד תמר נותב פייל</LawyerOfficeName>
        <LawyerOfficeID>80190276</LawyerOfficeID>
        <GroupPartyAlias/>
        <IsConverted>false</IsConverted>
        <LegalEntityNameID>92384502</LegalEntityNameID>
        <RepresentatedNamesOfAssistant/>
        <LegalEntityTypeID>4</LegalEntityTypeID>
        <IsVerdictExists>false</IsVerdictExists>
        <IsAsirAzir>false</IsAsirAzir>
        <MainAndSecSpec/>
        <IsPublicationProhibited>false</IsPublicationProhibited>
        <PublicationProhibitedFullName>תמר נותב פייל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שגיא סימני</FullName>
        <FirstName>שגיא</FirstName>
        <LastName>סימני</LastName>
        <PartyPropertyName/>
        <AuthenticationTypeAndNumber>ת"ז 213116601</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272940165</CasePartyID>
        <PartyTypeID>4</PartyTypeID>
        <ActivityStatusID>1</ActivityStatusID>
        <PartyAliasID>101</PartyAliasID>
        <PartyAliasName>עד בית משפט</PartyAliasName>
        <LegalEntityID>82020723</LegalEntityID>
        <CaseLegalEntityID>129718749</CaseLegalEntityID>
        <AuthenticationTypeID>1</AuthenticationTypeID>
        <AuthenticationTypeName>ת"ז</AuthenticationTypeName>
        <LegalEntityNumber>213116601</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צורן 2 שוהם </FullAddress>
        <MotionID>0</MotionID>
        <CasePleaID>0</CasePleaID>
        <FatherName>יהורם</FatherName>
        <LinkedCaseID>0</LinkedCaseID>
        <PartyID>1</PartyID>
        <CasePartyCategoryID>2</CasePartyCategoryID>
        <LegalEntityAddressID>89560711</LegalEntityAddressID>
        <PleaTypeID>8</PleaTypeID>
        <GroupPartyAlias/>
        <IsConverted>false</IsConverted>
        <LegalEntityRegisteredNameID>10820750</LegalEntityRegisteredNameID>
        <LegalEntityNameID>96877141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סימני</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237606686</CasePartyID>
        <PartyTypeID>3</PartyTypeID>
        <ActivityStatusID>1</ActivityStatusID>
        <LegalEntityID>7551403</LegalEntityID>
        <CaseLegalEntityID>118736475</CaseLegalEntityID>
        <AssistantRoleID>13</AssistantRoleID>
        <AuthenticationTypeID>13</AuthenticationTypeID>
        <AuthenticationTypeName>משרדי ממשלה</AuthenticationTypeName>
        <LegalEntityNumber>513442041</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גאיה מגדל</FullName>
        <FirstName>גאיה</FirstName>
        <LastName>מגדל</LastName>
        <PartyPropertyName/>
        <AuthenticationTypeAndNumber>ת"ז 325935955</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255474462</CasePartyID>
        <PartyTypeID>4</PartyTypeID>
        <ActivityStatusID>1</ActivityStatusID>
        <PartyAliasID>101</PartyAliasID>
        <PartyAliasName>עד בית משפט</PartyAliasName>
        <LegalEntityID>81204959</LegalEntityID>
        <CaseLegalEntityID>124284572</CaseLegalEntityID>
        <AuthenticationTypeID>1</AuthenticationTypeID>
        <AuthenticationTypeName>ת"ז</AuthenticationTypeName>
        <LegalEntityNumber>325935955</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לוד </FullAddress>
        <MotionID>0</MotionID>
        <CasePleaID>0</CasePleaID>
        <FatherName>עמיאל</FatherName>
        <LinkedCaseID>0</LinkedCaseID>
        <PartyID>1</PartyID>
        <CasePartyCategoryID>2</CasePartyCategoryID>
        <LegalEntityAddressID>87893108</LegalEntityAddressID>
        <PleaTypeID>8</PleaTypeID>
        <GroupPartyAlias/>
        <IsConverted>false</IsConverted>
        <LegalEntityRegisteredNameID>10336347</LegalEntityRegisteredNameID>
        <LegalEntityNameID>94837030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גאיה מגדל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אלה גפני</FullName>
        <FirstName>אלה</FirstName>
        <LastName>גפני</LastName>
        <PartyPropertyName/>
        <AuthenticationTypeAndNumber>ת"ז 021593728</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267829391</CasePartyID>
        <PartyTypeID>4</PartyTypeID>
        <ActivityStatusID>1</ActivityStatusID>
        <PartyAliasID>101</PartyAliasID>
        <PartyAliasName>עד בית משפט</PartyAliasName>
        <LegalEntityID>75129885</LegalEntityID>
        <CaseLegalEntityID>128192617</CaseLegalEntityID>
        <AuthenticationTypeID>1</AuthenticationTypeID>
        <AuthenticationTypeName>ת"ז</AuthenticationTypeName>
        <LegalEntityNumber>021593728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ראשון לציון .</FullAddress>
        <MotionID>0</MotionID>
        <CasePleaID>0</CasePleaID>
        <FatherName>סיני</FatherName>
        <LinkedCaseID>0</LinkedCaseID>
        <PartyID>1</PartyID>
        <CasePartyCategoryID>2</CasePartyCategoryID>
        <LegalEntityAddressID>89091684</LegalEntityAddressID>
        <PleaTypeID>8</PleaTypeID>
        <GroupPartyAlias/>
        <IsConverted>false</IsConverted>
        <LegalEntityRegisteredNameID>5175769</LegalEntityRegisteredNameID>
        <LegalEntityNameID>96310567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אלה גפני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קרן אופיר</FullName>
        <FirstName>קרן</FirstName>
        <LastName>אופיר</LastName>
        <PartyPropertyName/>
        <AuthenticationTypeAndNumber>ת"ז 034117812</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268189621</CasePartyID>
        <PartyTypeID>4</PartyTypeID>
        <ActivityStatusID>1</ActivityStatusID>
        <PartyAliasID>101</PartyAliasID>
        <PartyAliasName>עד בית משפט</PartyAliasName>
        <LegalEntityID>57455277</LegalEntityID>
        <CaseLegalEntityID>128299561</CaseLegalEntityID>
        <AuthenticationTypeID>1</AuthenticationTypeID>
        <AuthenticationTypeName>ת"ז</AuthenticationTypeName>
        <LegalEntityNumber>034117812</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רמלה </FullAddress>
        <MotionID>0</MotionID>
        <CasePleaID>0</CasePleaID>
        <FatherName>יצחק</FatherName>
        <LinkedCaseID>0</LinkedCaseID>
        <PartyID>1</PartyID>
        <CasePartyCategoryID>2</CasePartyCategoryID>
        <LegalEntityAddressID>89123937</LegalEntityAddressID>
        <PleaTypeID>8</PleaTypeID>
        <GroupPartyAlias/>
        <IsConverted>false</IsConverted>
        <LegalEntityRegisteredNameID>10698531</LegalEntityRegisteredNameID>
        <LegalEntityNameID>96350385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אופיר</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232668563</CasePartyID>
        <PartyTypeID>3</PartyTypeID>
        <ActivityStatusID>1</ActivityStatusID>
        <LegalEntityID>12733419</LegalEntityID>
        <CaseLegalEntityID>117247553</CaseLegalEntityID>
        <AssistantRoleID>26</AssistantRoleID>
        <AuthenticationTypeID>13</AuthenticationTypeID>
        <AuthenticationTypeName>משרדי ממשלה</AuthenticationTypeName>
        <LegalEntityNumber>570000489</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אורי נסים</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232697755</CasePartyID>
        <PartyTypeID>2</PartyTypeID>
        <ActivityStatusID>1</ActivityStatusID>
        <PartyAliasID>32</PartyAliasID>
        <PartyAliasName>בא כוח נאשמים</PartyAliasName>
        <LegalEntityID>408117</LegalEntityID>
        <CaseLegalEntityID>117256515</CaseLegalEntityID>
        <AuthenticationTypeID>4</AuthenticationTypeID>
        <AuthenticationTypeName>מ.ר.</AuthenticationTypeName>
        <LegalEntityNumber>34373</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אלון</FullName>
        <FirstName>אייל</FirstName>
        <LastName>אלון</LastName>
        <PartyPropertyName/>
        <AuthenticationTypeAndNumber>מ.ר. 28998</AuthenticationTypeAndNumber>
        <RepresentatedOrRepresentativesNames>אורי נסים</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232598295</CasePartyID>
        <PartyTypeID>2</PartyTypeID>
        <ActivityStatusID>1</ActivityStatusID>
        <PartyAliasID>32</PartyAliasID>
        <PartyAliasName>בא כוח נאשמים</PartyAliasName>
        <LegalEntityID>403722</LegalEntityID>
        <CaseLegalEntityID>117226145</CaseLegalEntityID>
        <AuthenticationTypeID>4</AuthenticationTypeID>
        <AuthenticationTypeName>מ.ר.</AuthenticationTypeName>
        <LegalEntityNumber>28998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בלוך 2/1 תל אביב -יפו </FullAddress>
        <EmailAddress>eyal@ari-law.com</EmailAddress>
        <MotionID>0</MotionID>
        <CasePleaID>0</CasePleaID>
        <LinkedCaseID>0</LinkedCaseID>
        <PartyID>2</PartyID>
        <CasePartyCategoryID>2</CasePartyCategoryID>
        <LegalEntityAddressID>71280858</LegalEntityAddressID>
        <LegalEntityEmailAddressID>67939946</LegalEntityEmailAddressID>
        <PleaTypeID>8</PleaTypeID>
        <LawyerOfficeName>משרד עו"ד: אייל אלון</LawyerOfficeName>
        <LawyerOfficeID>444366</LawyerOfficeID>
        <GroupPartyAlias/>
        <IsConverted>false</IsConverted>
        <LegalEntityNameID>24706</LegalEntityNameID>
        <RepresentatedNamesOfAssistant/>
        <LegalEntityTypeID>4</LegalEntityTypeID>
        <IsVerdictExists>false</IsVerdictExists>
        <IsAsirAzir>false</IsAsirAzir>
        <MainAndSecSpec/>
        <IsPublicationProhibited>false</IsPublicationProhibited>
        <PublicationProhibitedFullName>אייל אלון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232596217</CasePartyID>
        <PartyTypeID>2</PartyTypeID>
        <ActivityStatusID>1</ActivityStatusID>
        <PartyAliasID>30</PartyAliasID>
        <PartyAliasName>בא כוח מאשימה</PartyAliasName>
        <OrdinalNumber>1</OrdinalNumber>
        <LegalEntityID>398656</LegalEntityID>
        <CaseLegalEntityID>117225410</CaseLegalEntityID>
        <AuthenticationTypeID>4</AuthenticationTypeID>
        <AuthenticationTypeName>מ.ר.</AuthenticationTypeName>
        <LegalEntityNumber>19202</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232596216</CasePartyID>
        <PartyTypeID>1</PartyTypeID>
        <ActivityStatusID>1</ActivityStatusID>
        <PartyAliasID>11</PartyAliasID>
        <PartyAliasName>מאשימה</PartyAliasName>
        <OrdinalNumber>1</OrdinalNumber>
        <LegalEntityID>4</LegalEntityID>
        <CaseLegalEntityID>117225409</CaseLegalEntityID>
        <AuthenticationTypeID>41</AuthenticationTypeID>
        <AuthenticationTypeName>מדינת ישראל </AuthenticationTypeName>
        <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פנינה שיטרית</FullName>
        <FirstName>שקד פנינה</FirstName>
        <LastName>שיטרית</LastName>
        <PartyPropertyName/>
        <AuthenticationTypeAndNumber>ת"ז 325319416</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272939298</CasePartyID>
        <PartyTypeID>3</PartyTypeID>
        <ActivityStatusID>1</ActivityStatusID>
        <OrdinalNumber>1</OrdinalNumber>
        <LegalEntityID>74955100</LegalEntityID>
        <CaseLegalEntityID>129718462</CaseLegalEntityID>
        <AssistantRoleID>12</AssistantRoleID>
        <AuthenticationTypeID>1</AuthenticationTypeID>
        <AuthenticationTypeName>ת"ז</AuthenticationTypeName>
        <LegalEntityNumber>325319416</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מצפה 14 דירה 7 שוהם </FullAddress>
        <MotionID>0</MotionID>
        <CasePleaID>0</CasePleaID>
        <FatherName>אייל נסים</FatherName>
        <LinkedCaseID>0</LinkedCaseID>
        <PartyID>1</PartyID>
        <CasePartyCategoryID>2</CasePartyCategoryID>
        <LegalEntityAddressID>89560651</LegalEntityAddressID>
        <PleaTypeID>8</PleaTypeID>
        <GroupPartyAlias/>
        <IsConverted>false</IsConverted>
        <LegalEntityRegisteredNameID>5011094</LegalEntityRegisteredNameID>
        <LegalEntityNameID>96877033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שקד פנינה שיטרית</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כרמית שטרית</FullName>
        <FirstName>כרמית</FirstName>
        <LastName>שיטרית</LastName>
        <PartyPropertyName/>
        <AuthenticationTypeAndNumber>ת"ז 033739178</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255473293</CasePartyID>
        <PartyTypeID>4</PartyTypeID>
        <ActivityStatusID>1</ActivityStatusID>
        <PartyAliasID>101</PartyAliasID>
        <PartyAliasName>עד בית משפט</PartyAliasName>
        <OrdinalNumber>1</OrdinalNumber>
        <LegalEntityID>15814925</LegalEntityID>
        <CaseLegalEntityID>124284134</CaseLegalEntityID>
        <AuthenticationTypeID>1</AuthenticationTypeID>
        <AuthenticationTypeName>ת"ז</AuthenticationTypeName>
        <LegalEntityNumber>033739178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לוד </FullAddress>
        <MotionID>0</MotionID>
        <CasePleaID>0</CasePleaID>
        <FatherName>שמואל</FatherName>
        <LinkedCaseID>0</LinkedCaseID>
        <PartyID>1</PartyID>
        <CasePartyCategoryID>2</CasePartyCategoryID>
        <LegalEntityAddressID>87892973</LegalEntityAddressID>
        <PleaTypeID>8</PleaTypeID>
        <GroupPartyAlias/>
        <IsConverted>false</IsConverted>
        <LegalEntityRegisteredNameID>5011087</LegalEntityRegisteredNameID>
        <LegalEntityNameID>94836862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שטרית</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אורי נסים</FullName>
        <FirstName>אורי</FirstName>
        <LastName>נסים</LastName>
        <PartyPropertyName/>
        <AuthenticationTypeAndNumber>ת"ז 056191323</AuthenticationTypeAndNumber>
        <RepresentatedOrRepresentativesNames>אייל אלון, שירן ברגמן</RepresentatedOrRepresentativesNames>
        <RepresentatedOrRepresentativesCount>2</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232596218</CasePartyID>
        <PartyTypeID>1</PartyTypeID>
        <ActivityStatusID>1</ActivityStatusID>
        <PartyAliasID>13</PartyAliasID>
        <PartyAliasName>נאשם</PartyAliasName>
        <OrdinalNumber>1</OrdinalNumber>
        <LegalEntityID>22065426</LegalEntityID>
        <CaseLegalEntityID>117225411</CaseLegalEntityID>
        <AuthenticationTypeID>1</AuthenticationTypeID>
        <AuthenticationTypeName>ת"ז</AuthenticationTypeName>
        <LegalEntityNumber>056191323</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מצפה 20 שוהם </FullAddress>
        <MotionID>0</MotionID>
        <CasePleaID>0</CasePleaID>
        <BirthDate>1961-02-12T00:00:00+02:00</BirthDate>
        <FatherName>נסים</FatherName>
        <LinkedCaseID>0</LinkedCaseID>
        <PartyID>2</PartyID>
        <CasePartyCategoryID>2</CasePartyCategoryID>
        <LegalEntityAddressID>85745417</LegalEntityAddressID>
        <PleaTypeID>8</PleaTypeID>
        <GroupPartyAlias>נאשמים</GroupPartyAlias>
        <IsConverted>false</IsConverted>
        <LegalEntityRegisteredNameID>9539033</LegalEntityRegisteredNameID>
        <LegalEntityNameID>92131408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נסים</PublicationProhibitedFullName>
      </CaseParties>
    </CasePartiesSelectionDS>
    <DecisionName>החלטה  שניתנה ע"י  עמי קובו</DecisionName>
    <CourtDisplayName>בית המשפט המחוזי מרכז-לוד</CourtDisplayName>
    <IsCaseJudgePanel>true</IsCaseJudgePanel>
    <DecisionSignatureDate>2024-10-14T14:43:29.7841303+03:00</DecisionSignatureDate>
    <OpenCaseDate>2021-10-27T10:31:00+03:00</OpenCaseDate>
    <ExternalCaseNumber>725450/2021</ExternalCaseNumber>
    <DecisionTypeID>1</DecisionTypeID>
    <DecisionSignatureUserName>עמי קובו</DecisionSignatureUserName>
    <DecisionSignatureDateHebrew>2024-10-14T14:43:29.7841303+03:00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נסים</CaseName>
    <DecisionNumberInCase>22</DecisionNumberInCase>
  </dt_Decision>
  <dt_DecisionCase>
    <DecisionID>0</DecisionID>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תמר נותב פייל</FullName>
        <FirstName>תמר</FirstName>
        <LastName>נותב פייל</LastName>
        <PartyPropertyName/>
        <AuthenticationTypeAndNumber>מ.ר. 88277</AuthenticationTypeAndNumber>
        <RepresentatedOrRepresentativesNames>תמי נותב פייל</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268690591</CasePartyID>
        <PartyTypeID>2</PartyTypeID>
        <ActivityStatusID>1</ActivityStatusID>
        <PartyAliasID>22</PartyAliasID>
        <PartyAliasName>בא כוח מבקשים</PartyAliasName>
        <LegalEntityID>80190275</LegalEntityID>
        <CaseLegalEntityID>128442838</CaseLegalEntityID>
        <AuthenticationTypeID>4</AuthenticationTypeID>
        <AuthenticationTypeName>מ.ר.</AuthenticationTypeName>
        <LegalEntityNumber>88277</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משה לוי 39ב נס ציונה </FullAddress>
        <EmailAddress>tammynf@kalevilaw.com</EmailAddress>
        <MotionID>0</MotionID>
        <CasePleaID>0</CasePleaID>
        <LinkedCaseID>0</LinkedCaseID>
        <CasePartyCategoryID>2</CasePartyCategoryID>
        <LegalEntityAddressID>85944041</LegalEntityAddressID>
        <LegalEntityEmailAddressID>68155045</LegalEntityEmailAddressID>
        <PleaTypeID>8</PleaTypeID>
        <LawyerOfficeName>משרד עו"ד תמר נותב פייל</LawyerOfficeName>
        <LawyerOfficeID>80190276</LawyerOfficeID>
        <GroupPartyAlias/>
        <IsConverted>false</IsConverted>
        <LegalEntityNameID>92384502</LegalEntityNameID>
        <RepresentatedNamesOfAssistant/>
        <LegalEntityTypeID>4</LegalEntityTypeID>
        <IsVerdictExists>false</IsVerdictExists>
        <IsAsirAzir>false</IsAsirAzir>
        <MainAndSecSpec/>
        <IsPublicationProhibited>false</IsPublicationProhibited>
        <PublicationProhibitedFullName>תמר נותב פייל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שגיא סימני</FullName>
        <FirstName>שגיא</FirstName>
        <LastName>סימני</LastName>
        <PartyPropertyName/>
        <AuthenticationTypeAndNumber>ת"ז 213116601</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272940165</CasePartyID>
        <PartyTypeID>4</PartyTypeID>
        <ActivityStatusID>1</ActivityStatusID>
        <PartyAliasID>101</PartyAliasID>
        <PartyAliasName>עד בית משפט</PartyAliasName>
        <LegalEntityID>82020723</LegalEntityID>
        <CaseLegalEntityID>129718749</CaseLegalEntityID>
        <AuthenticationTypeID>1</AuthenticationTypeID>
        <AuthenticationTypeName>ת"ז</AuthenticationTypeName>
        <LegalEntityNumber>213116601</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צורן 2 שוהם </FullAddress>
        <MotionID>0</MotionID>
        <CasePleaID>0</CasePleaID>
        <FatherName>יהורם</FatherName>
        <LinkedCaseID>0</LinkedCaseID>
        <PartyID>1</PartyID>
        <CasePartyCategoryID>2</CasePartyCategoryID>
        <LegalEntityAddressID>89560711</LegalEntityAddressID>
        <PleaTypeID>8</PleaTypeID>
        <GroupPartyAlias/>
        <IsConverted>false</IsConverted>
        <LegalEntityRegisteredNameID>10820750</LegalEntityRegisteredNameID>
        <LegalEntityNameID>96877141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סימני</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237606686</CasePartyID>
        <PartyTypeID>3</PartyTypeID>
        <ActivityStatusID>1</ActivityStatusID>
        <LegalEntityID>7551403</LegalEntityID>
        <CaseLegalEntityID>118736475</CaseLegalEntityID>
        <AssistantRoleID>13</AssistantRoleID>
        <AuthenticationTypeID>13</AuthenticationTypeID>
        <AuthenticationTypeName>משרדי ממשלה</AuthenticationTypeName>
        <LegalEntityNumber>513442041</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גאיה מגדל</FullName>
        <FirstName>גאיה</FirstName>
        <LastName>מגדל</LastName>
        <PartyPropertyName/>
        <AuthenticationTypeAndNumber>ת"ז 325935955</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255474462</CasePartyID>
        <PartyTypeID>4</PartyTypeID>
        <ActivityStatusID>1</ActivityStatusID>
        <PartyAliasID>101</PartyAliasID>
        <PartyAliasName>עד בית משפט</PartyAliasName>
        <LegalEntityID>81204959</LegalEntityID>
        <CaseLegalEntityID>124284572</CaseLegalEntityID>
        <AuthenticationTypeID>1</AuthenticationTypeID>
        <AuthenticationTypeName>ת"ז</AuthenticationTypeName>
        <LegalEntityNumber>325935955</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לוד </FullAddress>
        <MotionID>0</MotionID>
        <CasePleaID>0</CasePleaID>
        <FatherName>עמיאל</FatherName>
        <LinkedCaseID>0</LinkedCaseID>
        <PartyID>1</PartyID>
        <CasePartyCategoryID>2</CasePartyCategoryID>
        <LegalEntityAddressID>87893108</LegalEntityAddressID>
        <PleaTypeID>8</PleaTypeID>
        <GroupPartyAlias/>
        <IsConverted>false</IsConverted>
        <LegalEntityRegisteredNameID>10336347</LegalEntityRegisteredNameID>
        <LegalEntityNameID>94837030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גאיה מגדל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אלה גפני</FullName>
        <FirstName>אלה</FirstName>
        <LastName>גפני</LastName>
        <PartyPropertyName/>
        <AuthenticationTypeAndNumber>ת"ז 021593728</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267829391</CasePartyID>
        <PartyTypeID>4</PartyTypeID>
        <ActivityStatusID>1</ActivityStatusID>
        <PartyAliasID>101</PartyAliasID>
        <PartyAliasName>עד בית משפט</PartyAliasName>
        <LegalEntityID>75129885</LegalEntityID>
        <CaseLegalEntityID>128192617</CaseLegalEntityID>
        <AuthenticationTypeID>1</AuthenticationTypeID>
        <AuthenticationTypeName>ת"ז</AuthenticationTypeName>
        <LegalEntityNumber>021593728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ראשון לציון .</FullAddress>
        <MotionID>0</MotionID>
        <CasePleaID>0</CasePleaID>
        <FatherName>סיני</FatherName>
        <LinkedCaseID>0</LinkedCaseID>
        <PartyID>1</PartyID>
        <CasePartyCategoryID>2</CasePartyCategoryID>
        <LegalEntityAddressID>89091684</LegalEntityAddressID>
        <PleaTypeID>8</PleaTypeID>
        <GroupPartyAlias/>
        <IsConverted>false</IsConverted>
        <LegalEntityRegisteredNameID>5175769</LegalEntityRegisteredNameID>
        <LegalEntityNameID>96310567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אלה גפני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קרן אופיר</FullName>
        <FirstName>קרן</FirstName>
        <LastName>אופיר</LastName>
        <PartyPropertyName/>
        <AuthenticationTypeAndNumber>ת"ז 034117812</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268189621</CasePartyID>
        <PartyTypeID>4</PartyTypeID>
        <ActivityStatusID>1</ActivityStatusID>
        <PartyAliasID>101</PartyAliasID>
        <PartyAliasName>עד בית משפט</PartyAliasName>
        <LegalEntityID>57455277</LegalEntityID>
        <CaseLegalEntityID>128299561</CaseLegalEntityID>
        <AuthenticationTypeID>1</AuthenticationTypeID>
        <AuthenticationTypeName>ת"ז</AuthenticationTypeName>
        <LegalEntityNumber>034117812</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רמלה </FullAddress>
        <MotionID>0</MotionID>
        <CasePleaID>0</CasePleaID>
        <FatherName>יצחק</FatherName>
        <LinkedCaseID>0</LinkedCaseID>
        <PartyID>1</PartyID>
        <CasePartyCategoryID>2</CasePartyCategoryID>
        <LegalEntityAddressID>89123937</LegalEntityAddressID>
        <PleaTypeID>8</PleaTypeID>
        <GroupPartyAlias/>
        <IsConverted>false</IsConverted>
        <LegalEntityRegisteredNameID>10698531</LegalEntityRegisteredNameID>
        <LegalEntityNameID>96350385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אופיר</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232668563</CasePartyID>
        <PartyTypeID>3</PartyTypeID>
        <ActivityStatusID>1</ActivityStatusID>
        <LegalEntityID>12733419</LegalEntityID>
        <CaseLegalEntityID>117247553</CaseLegalEntityID>
        <AssistantRoleID>26</AssistantRoleID>
        <AuthenticationTypeID>13</AuthenticationTypeID>
        <AuthenticationTypeName>משרדי ממשלה</AuthenticationTypeName>
        <LegalEntityNumber>570000489</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אורי נסים</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232697755</CasePartyID>
        <PartyTypeID>2</PartyTypeID>
        <ActivityStatusID>1</ActivityStatusID>
        <PartyAliasID>32</PartyAliasID>
        <PartyAliasName>בא כוח נאשמים</PartyAliasName>
        <LegalEntityID>408117</LegalEntityID>
        <CaseLegalEntityID>117256515</CaseLegalEntityID>
        <AuthenticationTypeID>4</AuthenticationTypeID>
        <AuthenticationTypeName>מ.ר.</AuthenticationTypeName>
        <LegalEntityNumber>34373</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אלון</FullName>
        <FirstName>אייל</FirstName>
        <LastName>אלון</LastName>
        <PartyPropertyName/>
        <AuthenticationTypeAndNumber>מ.ר. 28998</AuthenticationTypeAndNumber>
        <RepresentatedOrRepresentativesNames>אורי נסים</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232598295</CasePartyID>
        <PartyTypeID>2</PartyTypeID>
        <ActivityStatusID>1</ActivityStatusID>
        <PartyAliasID>32</PartyAliasID>
        <PartyAliasName>בא כוח נאשמים</PartyAliasName>
        <LegalEntityID>403722</LegalEntityID>
        <CaseLegalEntityID>117226145</CaseLegalEntityID>
        <AuthenticationTypeID>4</AuthenticationTypeID>
        <AuthenticationTypeName>מ.ר.</AuthenticationTypeName>
        <LegalEntityNumber>28998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בלוך 2/1 תל אביב -יפו </FullAddress>
        <EmailAddress>eyal@ari-law.com</EmailAddress>
        <MotionID>0</MotionID>
        <CasePleaID>0</CasePleaID>
        <LinkedCaseID>0</LinkedCaseID>
        <PartyID>2</PartyID>
        <CasePartyCategoryID>2</CasePartyCategoryID>
        <LegalEntityAddressID>71280858</LegalEntityAddressID>
        <LegalEntityEmailAddressID>67939946</LegalEntityEmailAddressID>
        <PleaTypeID>8</PleaTypeID>
        <LawyerOfficeName>משרד עו"ד: אייל אלון</LawyerOfficeName>
        <LawyerOfficeID>444366</LawyerOfficeID>
        <GroupPartyAlias/>
        <IsConverted>false</IsConverted>
        <LegalEntityNameID>24706</LegalEntityNameID>
        <RepresentatedNamesOfAssistant/>
        <LegalEntityTypeID>4</LegalEntityTypeID>
        <IsVerdictExists>false</IsVerdictExists>
        <IsAsirAzir>false</IsAsirAzir>
        <MainAndSecSpec/>
        <IsPublicationProhibited>false</IsPublicationProhibited>
        <PublicationProhibitedFullName>אייל אלון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232596217</CasePartyID>
        <PartyTypeID>2</PartyTypeID>
        <ActivityStatusID>1</ActivityStatusID>
        <PartyAliasID>30</PartyAliasID>
        <PartyAliasName>בא כוח מאשימה</PartyAliasName>
        <OrdinalNumber>1</OrdinalNumber>
        <LegalEntityID>398656</LegalEntityID>
        <CaseLegalEntityID>117225410</CaseLegalEntityID>
        <AuthenticationTypeID>4</AuthenticationTypeID>
        <AuthenticationTypeName>מ.ר.</AuthenticationTypeName>
        <LegalEntityNumber>19202</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232596216</CasePartyID>
        <PartyTypeID>1</PartyTypeID>
        <ActivityStatusID>1</ActivityStatusID>
        <PartyAliasID>11</PartyAliasID>
        <PartyAliasName>מאשימה</PartyAliasName>
        <OrdinalNumber>1</OrdinalNumber>
        <LegalEntityID>4</LegalEntityID>
        <CaseLegalEntityID>117225409</CaseLegalEntityID>
        <AuthenticationTypeID>41</AuthenticationTypeID>
        <AuthenticationTypeName>מדינת ישראל </AuthenticationTypeName>
        <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פנינה שיטרית</FullName>
        <FirstName>שקד פנינה</FirstName>
        <LastName>שיטרית</LastName>
        <PartyPropertyName/>
        <AuthenticationTypeAndNumber>ת"ז 325319416</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272939298</CasePartyID>
        <PartyTypeID>3</PartyTypeID>
        <ActivityStatusID>1</ActivityStatusID>
        <OrdinalNumber>1</OrdinalNumber>
        <LegalEntityID>74955100</LegalEntityID>
        <CaseLegalEntityID>129718462</CaseLegalEntityID>
        <AssistantRoleID>12</AssistantRoleID>
        <AuthenticationTypeID>1</AuthenticationTypeID>
        <AuthenticationTypeName>ת"ז</AuthenticationTypeName>
        <LegalEntityNumber>325319416</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מצפה 14 דירה 7 שוהם </FullAddress>
        <MotionID>0</MotionID>
        <CasePleaID>0</CasePleaID>
        <FatherName>אייל נסים</FatherName>
        <LinkedCaseID>0</LinkedCaseID>
        <PartyID>1</PartyID>
        <CasePartyCategoryID>2</CasePartyCategoryID>
        <LegalEntityAddressID>89560651</LegalEntityAddressID>
        <PleaTypeID>8</PleaTypeID>
        <GroupPartyAlias/>
        <IsConverted>false</IsConverted>
        <LegalEntityRegisteredNameID>5011094</LegalEntityRegisteredNameID>
        <LegalEntityNameID>96877033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שקד פנינה שיטרית</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כרמית שטרית</FullName>
        <FirstName>כרמית</FirstName>
        <LastName>שיטרית</LastName>
        <PartyPropertyName/>
        <AuthenticationTypeAndNumber>ת"ז 033739178</AuthenticationTypeAndNumber>
        <RepresentatedOrRepresentativesNames/>
        <RepresentatedOrRepresentativesCount>0</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255473293</CasePartyID>
        <PartyTypeID>4</PartyTypeID>
        <ActivityStatusID>1</ActivityStatusID>
        <PartyAliasID>101</PartyAliasID>
        <PartyAliasName>עד בית משפט</PartyAliasName>
        <OrdinalNumber>1</OrdinalNumber>
        <LegalEntityID>15814925</LegalEntityID>
        <CaseLegalEntityID>124284134</CaseLegalEntityID>
        <AuthenticationTypeID>1</AuthenticationTypeID>
        <AuthenticationTypeName>ת"ז</AuthenticationTypeName>
        <LegalEntityNumber>033739178</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 לוד </FullAddress>
        <MotionID>0</MotionID>
        <CasePleaID>0</CasePleaID>
        <FatherName>שמואל</FatherName>
        <LinkedCaseID>0</LinkedCaseID>
        <PartyID>1</PartyID>
        <CasePartyCategoryID>2</CasePartyCategoryID>
        <LegalEntityAddressID>87892973</LegalEntityAddressID>
        <PleaTypeID>8</PleaTypeID>
        <GroupPartyAlias/>
        <IsConverted>false</IsConverted>
        <LegalEntityRegisteredNameID>5011087</LegalEntityRegisteredNameID>
        <LegalEntityNameID>94836862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שטרית</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אורי נסים</FullName>
        <FirstName>אורי</FirstName>
        <LastName>נסים</LastName>
        <PartyPropertyName/>
        <AuthenticationTypeAndNumber>ת"ז 056191323</AuthenticationTypeAndNumber>
        <RepresentatedOrRepresentativesNames>אייל אלון, שירן ברגמן</RepresentatedOrRepresentativesNames>
        <RepresentatedOrRepresentativesCount>2</RepresentatedOrRepresentativesCount>
        <InvitedBy/>
        <CaseID>78744294</CaseID>
        <CaseJudicialPersonPresentationDS>
          <CaseJudicalPersonActive>
            <CaseID>78744294</CaseID>
            <JudicialPersonID>029737269@GOV.IL</JudicialPersonID>
            <JudicialPersonTypeID>1</JudicialPersonTypeID>
            <JudicialTypeID>3</JudicialTypeID>
            <IsChairman>true</IsChairman>
            <TreatmentStartDate>2024-05-26T12:10:57.097+03:00</TreatmentStartDate>
            <TreatmentFinishDate>9999-12-31T23:59:59.997+02:00</TreatmentFinishDate>
            <IdentificationCardNumber>029737269</IdentificationCardNumber>
            <DisplayName>עמי קובו</DisplayName>
            <JudicialTypeName>הרכב שופטים</JudicialTypeName>
            <CaseJudicialGroupNumber>581072</CaseJudicialGroupNumber>
            <FirstName>עמי</FirstName>
            <LastName>קובו</LastName>
            <JudicialPersonTitle>שופט</JudicialPersonTitle>
          </CaseJudicalPersonActive>
          <CaseJudicalPersonActive>
            <CaseID>78744294</CaseID>
            <JudicialPersonID>028615656@GOV.IL</JudicialPersonID>
            <JudicialPersonTypeID>1</JudicialPersonTypeID>
            <JudicialTypeID>3</JudicialTypeID>
            <IsChairman>false</IsChairman>
            <TreatmentStartDate>2024-05-26T12:10:57.097+03:00</TreatmentStartDate>
            <TreatmentFinishDate>9999-12-31T23:59:59.997+02:00</TreatmentFinishDate>
            <IdentificationCardNumber>028615656</IdentificationCardNumber>
            <DisplayName>מיכאל קרשן</DisplayName>
            <JudicialTypeName>הרכב שופטים</JudicialTypeName>
            <CaseJudicialGroupNumber>581072</CaseJudicialGroupNumber>
            <FirstName>מיכאל</FirstName>
            <LastName>קרשן</LastName>
            <JudicialPersonTitle>שופט</JudicialPersonTitle>
          </CaseJudicalPersonActive>
          <CaseJudicalPersonActive>
            <CaseID>78744294</CaseID>
            <JudicialPersonID>027781319@GOV.IL</JudicialPersonID>
            <JudicialPersonTypeID>1</JudicialPersonTypeID>
            <JudicialTypeID>3</JudicialTypeID>
            <IsChairman>false</IsChairman>
            <TreatmentStartDate>2024-05-26T12:10:57.097+03:00</TreatmentStartDate>
            <TreatmentFinishDate>9999-12-31T23:59:59.997+02:00</TreatmentFinishDate>
            <IdentificationCardNumber>027781319</IdentificationCardNumber>
            <DisplayName>מרב גרינברג</DisplayName>
            <JudicialTypeName>הרכב שופטים</JudicialTypeName>
            <CaseJudicialGroupNumber>581072</CaseJudicialGroupNumber>
            <FirstName>מרב</FirstName>
            <LastName>גרינברג</LastName>
            <JudicialPersonTitle>שופט</JudicialPersonTitle>
          </CaseJudicalPersonActive>
        </CaseJudicialPersonPresentationDS>
        <CasePartyID>232596218</CasePartyID>
        <PartyTypeID>1</PartyTypeID>
        <ActivityStatusID>1</ActivityStatusID>
        <PartyAliasID>13</PartyAliasID>
        <PartyAliasName>נאשם</PartyAliasName>
        <OrdinalNumber>1</OrdinalNumber>
        <LegalEntityID>22065426</LegalEntityID>
        <CaseLegalEntityID>117225411</CaseLegalEntityID>
        <AuthenticationTypeID>1</AuthenticationTypeID>
        <AuthenticationTypeName>ת"ז</AuthenticationTypeName>
        <LegalEntityNumber>056191323</LegalEntityNumber>
        <IsMainPartyType>true</IsMainPartyType>
        <CaseDisplayIdentifier>65218-10-21</CaseDisplayIdentifier>
        <CaseTypeID>10284</CaseTypeID>
        <CaseTypeName>תיק פלילי פשע חמור עדות קטין נפגע עבירה (תפח"ע)</CaseTypeName>
        <CaseName>מדינת ישראל נ' נסים</CaseName>
        <FullAddress>מצפה 20 שוהם </FullAddress>
        <MotionID>0</MotionID>
        <CasePleaID>0</CasePleaID>
        <BirthDate>1961-02-12T00:00:00+02:00</BirthDate>
        <FatherName>נסים</FatherName>
        <LinkedCaseID>0</LinkedCaseID>
        <PartyID>2</PartyID>
        <CasePartyCategoryID>2</CasePartyCategoryID>
        <LegalEntityAddressID>85745417</LegalEntityAddressID>
        <PleaTypeID>8</PleaTypeID>
        <GroupPartyAlias>נאשמים</GroupPartyAlias>
        <IsConverted>false</IsConverted>
        <LegalEntityRegisteredNameID>9539033</LegalEntityRegisteredNameID>
        <LegalEntityNameID>92131408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נסים</PublicationProhibitedFullName>
      </CaseParties>
    </CasePartiesSelectionDS>
    <CaseName>מדינת ישראל נ' נסים</CaseName>
    <CaseDisplayIdentifier>65218-10-21</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03-5225554</Fax>
    <Phone>03-6955122</Phone>
    <PartyID>2</PartyID>
    <PartyTypeID>2</PartyTypeID>
    <DecisionID>0</DecisionID>
    <StreetName>בלוך 2/1</StreetName>
    <ZipCode>64161</ZipCode>
    <CityName>תל אביב -יפו</CityName>
    <FullName>אייל אלון</FullName>
    <Email>eyal@ari-law.com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077-5621918</Fax>
    <PartyID>2</PartyID>
    <PartyTypeID>2</PartyTypeID>
    <DecisionID>0</DecisionID>
    <StreetName>ת.ד 34023</StreetName>
    <ZipCode>61340</ZipCode>
    <CityName>תל אביב -יפו</CityName>
    <FullName>שירן ברגמן</FullName>
    <Email>shiran@hotmail.co.il</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hone>074-7025757</Phone>
    <PartyTypeID>2</PartyTypeID>
    <DecisionID>0</DecisionID>
    <StreetName>משה לוי 39ב</StreetName>
    <ZipCode>7420700</ZipCode>
    <CityName>נס ציונה</CityName>
    <FullName>תמר נותב פייל</FullName>
    <Email>tammynf@kalevilaw.com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מצפה 20</StreetName>
    <CityName>שוהם</CityName>
    <FullName>אורי נסים</FullName>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12</AssistantRoleID>
    <StreetName>מצפה 14 דירה 7</StreetName>
    <CityName>שוהם</CityName>
    <FullName>שקד פנינה שיטרית </FullName>
    <Email/>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2024-10-15T14:30:00+03:00</FutureSittingDate>
    <PreviousMeetingDate>2024-07-17T08:30:00+03:00</PreviousMeetingDate>
    <NextSittingTypeID>12</NextSittingTypeID>
    <PreviousSittingTypeID>35</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3900B-5B86-4432-B3FC-C2A1FB034B58}">
  <ds:schemaRefs/>
</ds:datastoreItem>
</file>

<file path=customXml/itemProps2.xml><?xml version="1.0" encoding="utf-8"?>
<ds:datastoreItem xmlns:ds="http://schemas.openxmlformats.org/officeDocument/2006/customXml" ds:itemID="{5E6B690C-083A-44B4-9218-0F22194D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7962</Words>
  <Characters>39815</Characters>
  <Application>Microsoft Office Word</Application>
  <DocSecurity>0</DocSecurity>
  <Lines>331</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2024-10-29T09:49:00Z</dcterms:created>
  <dcterms:modified xsi:type="dcterms:W3CDTF">2024-10-29T09:49:00Z</dcterms:modified>
</cp:coreProperties>
</file>